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pPr>
      <w:r>
        <w:t xml:space="preserve"/>
      </w:r>
    </w:p>
    <w:p>
      <w:pPr>
        <w:spacing w:after="100" w:before="0"/>
        <w:jc w:val="center"/>
      </w:pPr>
      <w:r>
        <w:rPr>
          <w:rFonts w:ascii="Georgia" w:cs="Georgia" w:eastAsia="Georgia" w:hAnsi="Georgia"/>
          <w:b/>
          <w:bCs/>
          <w:color w:val="070C13"/>
          <w:spacing w:val="120"/>
          <w:sz w:val="88"/>
          <w:szCs w:val="88"/>
        </w:rPr>
        <w:t xml:space="preserve">SURETY</w:t>
      </w:r>
    </w:p>
    <w:p>
      <w:pPr>
        <w:spacing w:after="440" w:before="0"/>
        <w:jc w:val="center"/>
      </w:pPr>
      <w:r>
        <w:rPr>
          <w:rFonts w:ascii="Georgia" w:cs="Georgia" w:eastAsia="Georgia" w:hAnsi="Georgia"/>
          <w:i/>
          <w:iCs/>
          <w:color w:val="A8892E"/>
          <w:sz w:val="32"/>
          <w:szCs w:val="32"/>
        </w:rPr>
        <w:t xml:space="preserve">Business Plan &amp; Operating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70C13" w:val="clear"/>
            <w:tcMar>
              <w:top w:type="dxa" w:w="280"/>
              <w:left w:type="dxa" w:w="560"/>
              <w:bottom w:type="dxa" w:w="280"/>
              <w:right w:type="dxa" w:w="560"/>
            </w:tcMar>
          </w:tcPr>
          <w:p>
            <w:pPr>
              <w:spacing w:after="100" w:before="0"/>
              <w:jc w:val="center"/>
            </w:pPr>
            <w:r>
              <w:rPr>
                <w:rFonts w:ascii="Georgia" w:cs="Georgia" w:eastAsia="Georgia" w:hAnsi="Georgia"/>
                <w:i/>
                <w:iCs/>
                <w:color w:val="C8B890"/>
                <w:sz w:val="30"/>
                <w:szCs w:val="30"/>
              </w:rPr>
              <w:t xml:space="preserve">The certified used tire marketplace</w:t>
            </w:r>
          </w:p>
          <w:p>
            <w:pPr>
              <w:spacing w:after="0" w:before="0"/>
              <w:jc w:val="center"/>
            </w:pPr>
            <w:r>
              <w:rPr>
                <w:rFonts w:ascii="Calibri" w:cs="Calibri" w:eastAsia="Calibri" w:hAnsi="Calibri"/>
                <w:color w:val="6A7888"/>
                <w:sz w:val="18"/>
                <w:szCs w:val="18"/>
              </w:rPr>
              <w:t xml:space="preserve">Proven industrial inspection  ·  Consignment marketplace  ·  Insurance-backed grades</w:t>
            </w:r>
          </w:p>
        </w:tc>
      </w:tr>
    </w:tbl>
    <w:p>
      <w:pPr>
        <w:spacing w:after="200" w:before="600"/>
      </w:pPr>
      <w:r>
        <w:t xml:space="preserve"/>
      </w:r>
    </w:p>
    <w:p>
      <w:pPr>
        <w:spacing w:after="0" w:before="0"/>
        <w:jc w:val="center"/>
      </w:pPr>
      <w:r>
        <w:rPr>
          <w:rFonts w:ascii="Calibri" w:cs="Calibri" w:eastAsia="Calibri" w:hAnsi="Calibri"/>
          <w:color w:val="7A8898"/>
          <w:sz w:val="18"/>
          <w:szCs w:val="18"/>
        </w:rPr>
        <w:t xml:space="preserve">Confidential  ·  April 2026  ·  surety-certified.com</w:t>
      </w:r>
    </w:p>
    <w:p>
      <w:r>
        <w:br/>
      </w:r>
    </w:p>
    <w:p>
      <w:pPr>
        <w:sectPr>
          <w:pgSz w:w="12240" w:h="15840" w:orient="portrait"/>
          <w:pgMar w:top="1440" w:right="1440" w:bottom="1440" w:left="1440" w:header="708" w:footer="708" w:gutter="0"/>
          <w:pgNumType/>
          <w:docGrid w:linePitch="360"/>
        </w:sectPr>
      </w:pPr>
    </w:p>
    <w:p>
      <w:pPr>
        <w:pStyle w:val="Heading1"/>
        <w:pBdr>
          <w:bottom w:val="single" w:color="C8A96E" w:sz="12" w:space="8"/>
        </w:pBdr>
        <w:spacing w:after="140" w:before="480"/>
      </w:pPr>
      <w:r>
        <w:rPr>
          <w:rFonts w:ascii="Georgia" w:cs="Georgia" w:eastAsia="Georgia" w:hAnsi="Georgia"/>
          <w:b/>
          <w:bCs/>
          <w:color w:val="070C13"/>
          <w:sz w:val="36"/>
          <w:szCs w:val="36"/>
        </w:rPr>
        <w:t xml:space="preserve">1. Executive Summary</w:t>
      </w:r>
    </w:p>
    <w:p>
      <w:pPr>
        <w:spacing w:after="100" w:before="80"/>
      </w:pPr>
      <w:r>
        <w:rPr>
          <w:rFonts w:ascii="Calibri" w:cs="Calibri" w:eastAsia="Calibri" w:hAnsi="Calibri"/>
          <w:color w:val="1E2A38"/>
          <w:sz w:val="21"/>
          <w:szCs w:val="21"/>
        </w:rPr>
        <w:t xml:space="preserve">Surety is the first certified used tire marketplace. We combine proven industrial inspection technology with a consignment-based marketplace model to create a trusted, liquid market for used tires — a product category that has operated without any independent quality standard for over a century.</w:t>
      </w:r>
    </w:p>
    <w:p>
      <w:pPr>
        <w:spacing w:after="60" w:before="60"/>
      </w:pPr>
      <w:r>
        <w:t xml:space="preserve"/>
      </w:r>
    </w:p>
    <w:p>
      <w:pPr>
        <w:spacing w:after="100" w:before="80"/>
      </w:pPr>
      <w:r>
        <w:rPr>
          <w:rFonts w:ascii="Calibri" w:cs="Calibri" w:eastAsia="Calibri" w:hAnsi="Calibri"/>
          <w:color w:val="1E2A38"/>
          <w:sz w:val="21"/>
          <w:szCs w:val="21"/>
        </w:rPr>
        <w:t xml:space="preserve">The model is deliberately inventory-light. Surety arrives at partner locations — salvage yards, fleet depots, auction houses, dealer groups — scans their existing tire inventory at no charge using a proprietary indexed conveyor inspection machine, grades each tire to the SR standard, and lists it on the Surety marketplace. We earn a fee only when a tire sells. Partners bear zero upfront cost and gain a revenue stream from inventory they could not previously monetise.</w:t>
      </w:r>
    </w:p>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6E" w:sz="24"/>
              <w:bottom w:val="none" w:color="FFFFFF" w:sz="0"/>
              <w:right w:val="none" w:color="FFFFFF" w:sz="0"/>
            </w:tcBorders>
            <w:shd w:fill="F2EEE4" w:val="clear"/>
            <w:tcMar>
              <w:top w:type="dxa" w:w="120"/>
              <w:left w:type="dxa" w:w="200"/>
              <w:bottom w:type="dxa" w:w="120"/>
              <w:right w:type="dxa" w:w="160"/>
            </w:tcMar>
          </w:tcPr>
          <w:p>
            <w:pPr>
              <w:spacing w:after="60" w:before="0"/>
            </w:pPr>
            <w:r>
              <w:rPr>
                <w:rFonts w:ascii="Calibri" w:cs="Calibri" w:eastAsia="Calibri" w:hAnsi="Calibri"/>
                <w:b/>
                <w:bCs/>
                <w:color w:val="C8A96E"/>
                <w:spacing w:val="40"/>
                <w:sz w:val="18"/>
                <w:szCs w:val="18"/>
              </w:rPr>
              <w:t xml:space="preserve">TECHNOLOGY APPROACH</w:t>
            </w:r>
          </w:p>
          <w:p>
            <w:pPr>
              <w:spacing w:after="0" w:before="0"/>
            </w:pPr>
            <w:r>
              <w:rPr>
                <w:rFonts w:ascii="Calibri" w:cs="Calibri" w:eastAsia="Calibri" w:hAnsi="Calibri"/>
                <w:i/>
                <w:iCs/>
                <w:color w:val="1E2A38"/>
                <w:sz w:val="20"/>
                <w:szCs w:val="20"/>
              </w:rPr>
              <w:t xml:space="preserve">The Surety inspection machine is built entirely from proven, commercially available industrial components — DOT OCR, laser profilometry, AI visual inspection. No novel physics. No R&amp;D risk. The innovation is the integration, the certification standard, and the marketplace built around it.</w:t>
            </w:r>
          </w:p>
        </w:tc>
      </w:tr>
    </w:tbl>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Business Model Summary</w:t>
      </w:r>
    </w:p>
    <w:p>
      <w:pPr>
        <w:pStyle w:val="ListParagraph"/>
        <w:numPr>
          <w:ilvl w:val="0"/>
          <w:numId w:val="2"/>
        </w:numPr>
        <w:spacing w:after="50" w:before="50"/>
      </w:pPr>
      <w:r>
        <w:rPr>
          <w:rFonts w:ascii="Calibri" w:cs="Calibri" w:eastAsia="Calibri" w:hAnsi="Calibri"/>
          <w:b/>
          <w:bCs/>
          <w:color w:val="1E2A38"/>
          <w:sz w:val="20"/>
          <w:szCs w:val="20"/>
        </w:rPr>
        <w:t xml:space="preserve">Surety scans partner inventory at no cost using a proven 5-station indexed conveyor machine.</w:t>
      </w:r>
    </w:p>
    <w:p>
      <w:pPr>
        <w:pStyle w:val="ListParagraph"/>
        <w:numPr>
          <w:ilvl w:val="0"/>
          <w:numId w:val="2"/>
        </w:numPr>
        <w:spacing w:after="50" w:before="50"/>
      </w:pPr>
      <w:r>
        <w:rPr>
          <w:rFonts w:ascii="Calibri" w:cs="Calibri" w:eastAsia="Calibri" w:hAnsi="Calibri"/>
          <w:b/>
          <w:bCs/>
          <w:color w:val="1E2A38"/>
          <w:sz w:val="20"/>
          <w:szCs w:val="20"/>
        </w:rPr>
        <w:t xml:space="preserve">Certified tires are listed on the Surety marketplace with SR grade, tread depth, size, age, and visual inspection data.</w:t>
      </w:r>
    </w:p>
    <w:p>
      <w:pPr>
        <w:pStyle w:val="ListParagraph"/>
        <w:numPr>
          <w:ilvl w:val="0"/>
          <w:numId w:val="2"/>
        </w:numPr>
        <w:spacing w:after="50" w:before="50"/>
      </w:pPr>
      <w:r>
        <w:rPr>
          <w:rFonts w:ascii="Calibri" w:cs="Calibri" w:eastAsia="Calibri" w:hAnsi="Calibri"/>
          <w:b/>
          <w:bCs/>
          <w:color w:val="1E2A38"/>
          <w:sz w:val="20"/>
          <w:szCs w:val="20"/>
        </w:rPr>
        <w:t xml:space="preserve">Partners set their own asking price. Surety provides comparable sales guidance from transaction data.</w:t>
      </w:r>
    </w:p>
    <w:p>
      <w:pPr>
        <w:pStyle w:val="ListParagraph"/>
        <w:numPr>
          <w:ilvl w:val="0"/>
          <w:numId w:val="2"/>
        </w:numPr>
        <w:spacing w:after="50" w:before="50"/>
      </w:pPr>
      <w:r>
        <w:rPr>
          <w:rFonts w:ascii="Calibri" w:cs="Calibri" w:eastAsia="Calibri" w:hAnsi="Calibri"/>
          <w:b/>
          <w:bCs/>
          <w:color w:val="1E2A38"/>
          <w:sz w:val="20"/>
          <w:szCs w:val="20"/>
        </w:rPr>
        <w:t xml:space="preserve">Surety earns a hybrid take rate ($7 flat + 12% above $40 sale price) only when a tire sells.</w:t>
      </w:r>
    </w:p>
    <w:p>
      <w:pPr>
        <w:pStyle w:val="ListParagraph"/>
        <w:numPr>
          <w:ilvl w:val="0"/>
          <w:numId w:val="2"/>
        </w:numPr>
        <w:spacing w:after="50" w:before="50"/>
      </w:pPr>
      <w:r>
        <w:rPr>
          <w:rFonts w:ascii="Calibri" w:cs="Calibri" w:eastAsia="Calibri" w:hAnsi="Calibri"/>
          <w:b/>
          <w:bCs/>
          <w:color w:val="1E2A38"/>
          <w:sz w:val="20"/>
          <w:szCs w:val="20"/>
        </w:rPr>
        <w:t xml:space="preserve">Insurance product on certified listings creates a recurring annuity revenue stream from Year 2.</w:t>
      </w:r>
    </w:p>
    <w:p>
      <w:pPr>
        <w:pStyle w:val="ListParagraph"/>
        <w:numPr>
          <w:ilvl w:val="0"/>
          <w:numId w:val="2"/>
        </w:numPr>
        <w:spacing w:after="50" w:before="50"/>
      </w:pPr>
      <w:r>
        <w:rPr>
          <w:rFonts w:ascii="Calibri" w:cs="Calibri" w:eastAsia="Calibri" w:hAnsi="Calibri"/>
          <w:b/>
          <w:bCs/>
          <w:color w:val="1E2A38"/>
          <w:sz w:val="20"/>
          <w:szCs w:val="20"/>
        </w:rPr>
        <w:t xml:space="preserve">Franchise network (Year 3+) extends scan coverage nationally while feeding the central marketplace.</w:t>
      </w:r>
    </w:p>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Capital Strategy — Staged and Disciplined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300"/>
        <w:gridCol w:w="3460"/>
        <w:gridCol w:w="2000"/>
      </w:tblGrid>
      <w:tr>
        <w:trPr>
          <w:tblHeader/>
        </w:trPr>
        <w:tc>
          <w:tcPr>
            <w:tcW w:type="dxa" w:w="14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Round</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Amount</w:t>
            </w:r>
          </w:p>
        </w:tc>
        <w:tc>
          <w:tcPr>
            <w:tcW w:type="dxa" w:w="13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Timing</w:t>
            </w:r>
          </w:p>
        </w:tc>
        <w:tc>
          <w:tcPr>
            <w:tcW w:type="dxa" w:w="34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Purpose</w:t>
            </w:r>
          </w:p>
        </w:tc>
        <w:tc>
          <w:tcPr>
            <w:tcW w:type="dxa" w:w="20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Trigger</w:t>
            </w:r>
          </w:p>
        </w:tc>
      </w:tr>
      <w:tr>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Bootstrap</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$80–100k</w:t>
            </w:r>
          </w:p>
        </w:tc>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Month 0–8</w:t>
            </w:r>
          </w:p>
        </w:tc>
        <w:tc>
          <w:tcPr>
            <w:tcW w:type="dxa" w:w="34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Bench prototype, AI training, pilot partner, legal</w:t>
            </w:r>
          </w:p>
        </w:tc>
        <w:tc>
          <w:tcPr>
            <w:tcW w:type="dxa" w:w="2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Concept</w:t>
            </w:r>
          </w:p>
        </w:tc>
      </w:tr>
      <w:tr>
        <w:tc>
          <w:tcPr>
            <w:tcW w:type="dxa" w:w="1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Seed</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$300–400k</w:t>
            </w:r>
          </w:p>
        </w:tc>
        <w:tc>
          <w:tcPr>
            <w:tcW w:type="dxa" w:w="13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Month 8–18</w:t>
            </w:r>
          </w:p>
        </w:tc>
        <w:tc>
          <w:tcPr>
            <w:tcW w:type="dxa" w:w="34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Van 1, marketplace platform, 5–8 partners</w:t>
            </w:r>
          </w:p>
        </w:tc>
        <w:tc>
          <w:tcPr>
            <w:tcW w:type="dxa" w:w="2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Raised on data</w:t>
            </w:r>
          </w:p>
        </w:tc>
      </w:tr>
      <w:tr>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Series A</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$3–5M</w:t>
            </w:r>
          </w:p>
        </w:tc>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Year 3+</w:t>
            </w:r>
          </w:p>
        </w:tc>
        <w:tc>
          <w:tcPr>
            <w:tcW w:type="dxa" w:w="34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Franchise acceleration, additional vans</w:t>
            </w:r>
          </w:p>
        </w:tc>
        <w:tc>
          <w:tcPr>
            <w:tcW w:type="dxa" w:w="2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Model proven</w:t>
            </w:r>
          </w:p>
        </w:tc>
      </w:tr>
    </w:tbl>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6E" w:sz="24"/>
              <w:bottom w:val="none" w:color="FFFFFF" w:sz="0"/>
              <w:right w:val="none" w:color="FFFFFF" w:sz="0"/>
            </w:tcBorders>
            <w:shd w:fill="F2EEE4" w:val="clear"/>
            <w:tcMar>
              <w:top w:type="dxa" w:w="120"/>
              <w:left w:type="dxa" w:w="200"/>
              <w:bottom w:type="dxa" w:w="120"/>
              <w:right w:type="dxa" w:w="160"/>
            </w:tcMar>
          </w:tcPr>
          <w:p>
            <w:pPr>
              <w:spacing w:after="60" w:before="0"/>
            </w:pPr>
            <w:r>
              <w:rPr>
                <w:rFonts w:ascii="Calibri" w:cs="Calibri" w:eastAsia="Calibri" w:hAnsi="Calibri"/>
                <w:b/>
                <w:bCs/>
                <w:color w:val="C8A96E"/>
                <w:spacing w:val="40"/>
                <w:sz w:val="18"/>
                <w:szCs w:val="18"/>
              </w:rPr>
              <w:t xml:space="preserve">OWNERSHIP ADVANTAGE</w:t>
            </w:r>
          </w:p>
          <w:p>
            <w:pPr>
              <w:spacing w:after="0" w:before="0"/>
            </w:pPr>
            <w:r>
              <w:rPr>
                <w:rFonts w:ascii="Calibri" w:cs="Calibri" w:eastAsia="Calibri" w:hAnsi="Calibri"/>
                <w:i/>
                <w:iCs/>
                <w:color w:val="1E2A38"/>
                <w:sz w:val="20"/>
                <w:szCs w:val="20"/>
              </w:rPr>
              <w:t xml:space="preserve">Total external capital to self-funding is approximately $380–500k versus the $2.5M originally modelled. Every dollar saved in early capital is equity retained through subsequent rounds.</w:t>
            </w:r>
          </w:p>
        </w:tc>
      </w:tr>
    </w:tbl>
    <w:p>
      <w:pPr>
        <w:spacing w:after="60" w:before="60"/>
      </w:pPr>
      <w:r>
        <w:t xml:space="preserve"/>
      </w:r>
    </w:p>
    <w:p>
      <w:pPr>
        <w:pStyle w:val="Heading1"/>
        <w:pBdr>
          <w:bottom w:val="single" w:color="C8A96E" w:sz="12" w:space="8"/>
        </w:pBdr>
        <w:spacing w:after="140" w:before="480"/>
      </w:pPr>
      <w:r>
        <w:rPr>
          <w:rFonts w:ascii="Georgia" w:cs="Georgia" w:eastAsia="Georgia" w:hAnsi="Georgia"/>
          <w:b/>
          <w:bCs/>
          <w:color w:val="070C13"/>
          <w:sz w:val="36"/>
          <w:szCs w:val="36"/>
        </w:rPr>
        <w:t xml:space="preserve">2. The Problem</w:t>
      </w:r>
    </w:p>
    <w:p>
      <w:pPr>
        <w:pStyle w:val="Heading2"/>
        <w:spacing w:after="100" w:before="320"/>
      </w:pPr>
      <w:r>
        <w:rPr>
          <w:rFonts w:ascii="Georgia" w:cs="Georgia" w:eastAsia="Georgia" w:hAnsi="Georgia"/>
          <w:b/>
          <w:bCs/>
          <w:color w:val="070C13"/>
          <w:sz w:val="28"/>
          <w:szCs w:val="28"/>
        </w:rPr>
        <w:t xml:space="preserve">A Century Without a Standard</w:t>
      </w:r>
    </w:p>
    <w:p>
      <w:pPr>
        <w:spacing w:after="100" w:before="80"/>
      </w:pPr>
      <w:r>
        <w:rPr>
          <w:rFonts w:ascii="Calibri" w:cs="Calibri" w:eastAsia="Calibri" w:hAnsi="Calibri"/>
          <w:color w:val="1E2A38"/>
          <w:sz w:val="21"/>
          <w:szCs w:val="21"/>
        </w:rPr>
        <w:t xml:space="preserve">The used tire market is one of the largest safety-critical consumer markets in the United States with no independent quality verification infrastructure. Every tire changes hands based on a visual tread inspection that tells the buyer almost nothing about the tire's actual condition.</w:t>
      </w:r>
    </w:p>
    <w:p>
      <w:pPr>
        <w:spacing w:after="40" w:before="60"/>
      </w:pPr>
      <w:r>
        <w:t xml:space="preserve"/>
      </w:r>
    </w:p>
    <w:p>
      <w:pPr>
        <w:spacing w:after="80" w:before="220"/>
      </w:pPr>
      <w:r>
        <w:rPr>
          <w:rFonts w:ascii="Calibri" w:cs="Calibri" w:eastAsia="Calibri" w:hAnsi="Calibri"/>
          <w:b/>
          <w:bCs/>
          <w:color w:val="A8892E"/>
          <w:sz w:val="22"/>
          <w:szCs w:val="22"/>
        </w:rPr>
        <w:t xml:space="preserve">What Buyers Cannot Know Without Surety</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Internal belt separation — undetectable without ultrasonic testing, causes catastrophic blowouts</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UV degradation — rubber compounds break down invisibly from the outside over time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Prior impact damage — a kerb strike compromises structural integrity with no visible evidence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Repair quality — prior puncture repairs may be poorly executed and fail under load</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Age — tires older than six years carry safety risk regardless of appearance</w:t>
      </w:r>
    </w:p>
    <w:p>
      <w:pPr>
        <w:spacing w:after="40" w:before="60"/>
      </w:pPr>
      <w:r>
        <w:t xml:space="preserve"/>
      </w:r>
    </w:p>
    <w:p>
      <w:pPr>
        <w:spacing w:after="80" w:before="220"/>
      </w:pPr>
      <w:r>
        <w:rPr>
          <w:rFonts w:ascii="Calibri" w:cs="Calibri" w:eastAsia="Calibri" w:hAnsi="Calibri"/>
          <w:b/>
          <w:bCs/>
          <w:color w:val="A8892E"/>
          <w:sz w:val="22"/>
          <w:szCs w:val="22"/>
        </w:rPr>
        <w:t xml:space="preserve">What Sellers Cannot Represent</w:t>
      </w:r>
    </w:p>
    <w:p>
      <w:pPr>
        <w:spacing w:after="100" w:before="80"/>
      </w:pPr>
      <w:r>
        <w:rPr>
          <w:rFonts w:ascii="Calibri" w:cs="Calibri" w:eastAsia="Calibri" w:hAnsi="Calibri"/>
          <w:color w:val="1E2A38"/>
          <w:sz w:val="21"/>
          <w:szCs w:val="21"/>
        </w:rPr>
        <w:t xml:space="preserve">Sellers have no credible mechanism to represent quality even when their inventory is genuinely good. This creates a classic lemons market: good and bad tires sell at similar prices because buyers cannot distinguish them. Quality sellers are penalised and the overall market suffers a persistent discount to fair value.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000"/>
        <w:gridCol w:w="3760"/>
      </w:tblGrid>
      <w:tr>
        <w:trPr>
          <w:tblHeader/>
        </w:trPr>
        <w:tc>
          <w:tcPr>
            <w:tcW w:type="dxa" w:w="26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Dimension</w:t>
            </w:r>
          </w:p>
        </w:tc>
        <w:tc>
          <w:tcPr>
            <w:tcW w:type="dxa" w:w="30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Market Today</w:t>
            </w:r>
          </w:p>
        </w:tc>
        <w:tc>
          <w:tcPr>
            <w:tcW w:type="dxa" w:w="37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With Surety</w:t>
            </w:r>
          </w:p>
        </w:tc>
      </w:tr>
      <w:tr>
        <w:tc>
          <w:tcPr>
            <w:tcW w:type="dxa" w:w="2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Buyer confidence</w:t>
            </w:r>
          </w:p>
        </w:tc>
        <w:tc>
          <w:tcPr>
            <w:tcW w:type="dxa" w:w="3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Low — no verification exists</w:t>
            </w:r>
          </w:p>
        </w:tc>
        <w:tc>
          <w:tcPr>
            <w:tcW w:type="dxa" w:w="3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High — machine-certified grade</w:t>
            </w:r>
          </w:p>
        </w:tc>
      </w:tr>
      <w:tr>
        <w:tc>
          <w:tcPr>
            <w:tcW w:type="dxa" w:w="2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Premium for quality inventory</w:t>
            </w:r>
          </w:p>
        </w:tc>
        <w:tc>
          <w:tcPr>
            <w:tcW w:type="dxa" w:w="3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Unavailable — all tires similar</w:t>
            </w:r>
          </w:p>
        </w:tc>
        <w:tc>
          <w:tcPr>
            <w:tcW w:type="dxa" w:w="37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SR-A commands 35–60% premium</w:t>
            </w:r>
          </w:p>
        </w:tc>
      </w:tr>
      <w:tr>
        <w:tc>
          <w:tcPr>
            <w:tcW w:type="dxa" w:w="2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Online purchase confidence</w:t>
            </w:r>
          </w:p>
        </w:tc>
        <w:tc>
          <w:tcPr>
            <w:tcW w:type="dxa" w:w="3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Very low — buyer cannot inspect</w:t>
            </w:r>
          </w:p>
        </w:tc>
        <w:tc>
          <w:tcPr>
            <w:tcW w:type="dxa" w:w="3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Full inspection data + live cert</w:t>
            </w:r>
          </w:p>
        </w:tc>
      </w:tr>
      <w:tr>
        <w:tc>
          <w:tcPr>
            <w:tcW w:type="dxa" w:w="2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Dormant inventory value</w:t>
            </w:r>
          </w:p>
        </w:tc>
        <w:tc>
          <w:tcPr>
            <w:tcW w:type="dxa" w:w="3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Near zero</w:t>
            </w:r>
          </w:p>
        </w:tc>
        <w:tc>
          <w:tcPr>
            <w:tcW w:type="dxa" w:w="37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Convertible to marketplace revenue</w:t>
            </w:r>
          </w:p>
        </w:tc>
      </w:tr>
      <w:tr>
        <w:tc>
          <w:tcPr>
            <w:tcW w:type="dxa" w:w="2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Insurance availability</w:t>
            </w:r>
          </w:p>
        </w:tc>
        <w:tc>
          <w:tcPr>
            <w:tcW w:type="dxa" w:w="3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None for used tires</w:t>
            </w:r>
          </w:p>
        </w:tc>
        <w:tc>
          <w:tcPr>
            <w:tcW w:type="dxa" w:w="3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SR-certified tires insurable</w:t>
            </w:r>
          </w:p>
        </w:tc>
      </w:tr>
    </w:tbl>
    <w:p>
      <w:pPr>
        <w:spacing w:after="60" w:before="60"/>
      </w:pPr>
      <w:r>
        <w:t xml:space="preserve"/>
      </w:r>
    </w:p>
    <w:p>
      <w:pPr>
        <w:spacing w:after="100" w:before="80"/>
      </w:pPr>
      <w:r>
        <w:rPr>
          <w:rFonts w:ascii="Calibri" w:cs="Calibri" w:eastAsia="Calibri" w:hAnsi="Calibri"/>
          <w:color w:val="1E2A38"/>
          <w:sz w:val="21"/>
          <w:szCs w:val="21"/>
        </w:rPr>
        <w:t xml:space="preserve">Approximately 35% of potential buyers avoid used tires entirely due to safety concerns — approximately $3.1 billion in suppressed annual demand that a credible certification unlocks. Surety does not need to take market share from anyone. It needs only to enable transactions that currently cannot happen.</w:t>
      </w:r>
    </w:p>
    <w:p>
      <w:pPr>
        <w:spacing w:after="60" w:before="60"/>
      </w:pPr>
      <w:r>
        <w:t xml:space="preserve"/>
      </w:r>
    </w:p>
    <w:p>
      <w:pPr>
        <w:pStyle w:val="Heading1"/>
        <w:pBdr>
          <w:bottom w:val="single" w:color="C8A96E" w:sz="12" w:space="8"/>
        </w:pBdr>
        <w:spacing w:after="140" w:before="480"/>
      </w:pPr>
      <w:r>
        <w:rPr>
          <w:rFonts w:ascii="Georgia" w:cs="Georgia" w:eastAsia="Georgia" w:hAnsi="Georgia"/>
          <w:b/>
          <w:bCs/>
          <w:color w:val="070C13"/>
          <w:sz w:val="36"/>
          <w:szCs w:val="36"/>
        </w:rPr>
        <w:t xml:space="preserve">3. The Solution</w:t>
      </w:r>
    </w:p>
    <w:p>
      <w:pPr>
        <w:pStyle w:val="Heading2"/>
        <w:spacing w:after="100" w:before="320"/>
      </w:pPr>
      <w:r>
        <w:rPr>
          <w:rFonts w:ascii="Georgia" w:cs="Georgia" w:eastAsia="Georgia" w:hAnsi="Georgia"/>
          <w:b/>
          <w:bCs/>
          <w:color w:val="070C13"/>
          <w:sz w:val="28"/>
          <w:szCs w:val="28"/>
        </w:rPr>
        <w:t xml:space="preserve">The Consignment Marketplace</w:t>
      </w:r>
    </w:p>
    <w:p>
      <w:pPr>
        <w:spacing w:after="100" w:before="80"/>
      </w:pPr>
      <w:r>
        <w:rPr>
          <w:rFonts w:ascii="Calibri" w:cs="Calibri" w:eastAsia="Calibri" w:hAnsi="Calibri"/>
          <w:color w:val="1E2A38"/>
          <w:sz w:val="21"/>
          <w:szCs w:val="21"/>
        </w:rPr>
        <w:t xml:space="preserve">Surety's model inverts the conventional B2B service dynamic. Rather than charging partners for certification, Surety shares in the upside of a sale that would not have happened without the certification. This creates complete alignment: Surety's revenue grows only when partners' inventory moves at prices that reflect its quality.</w:t>
      </w:r>
    </w:p>
    <w:p>
      <w:pPr>
        <w:spacing w:after="40" w:before="60"/>
      </w:pPr>
      <w:r>
        <w:t xml:space="preserve"/>
      </w:r>
    </w:p>
    <w:p>
      <w:pPr>
        <w:spacing w:after="80" w:before="220"/>
      </w:pPr>
      <w:r>
        <w:rPr>
          <w:rFonts w:ascii="Calibri" w:cs="Calibri" w:eastAsia="Calibri" w:hAnsi="Calibri"/>
          <w:b/>
          <w:bCs/>
          <w:color w:val="A8892E"/>
          <w:sz w:val="22"/>
          <w:szCs w:val="22"/>
        </w:rPr>
        <w:t xml:space="preserve">The Five-Step Flow</w:t>
      </w:r>
    </w:p>
    <w:p>
      <w:pPr>
        <w:pStyle w:val="ListParagraph"/>
        <w:numPr>
          <w:ilvl w:val="0"/>
          <w:numId w:val="2"/>
        </w:numPr>
        <w:spacing w:after="50" w:before="50"/>
      </w:pPr>
      <w:r>
        <w:rPr>
          <w:rFonts w:ascii="Calibri" w:cs="Calibri" w:eastAsia="Calibri" w:hAnsi="Calibri"/>
          <w:b/>
          <w:bCs/>
          <w:color w:val="1E2A38"/>
          <w:sz w:val="20"/>
          <w:szCs w:val="20"/>
        </w:rPr>
        <w:t xml:space="preserve">Step 1 — Surety arrives at the partner location with the inspection van. Zero cost to the partner. Zero commitment required.</w:t>
      </w:r>
    </w:p>
    <w:p>
      <w:pPr>
        <w:pStyle w:val="ListParagraph"/>
        <w:numPr>
          <w:ilvl w:val="0"/>
          <w:numId w:val="2"/>
        </w:numPr>
        <w:spacing w:after="50" w:before="50"/>
      </w:pPr>
      <w:r>
        <w:rPr>
          <w:rFonts w:ascii="Calibri" w:cs="Calibri" w:eastAsia="Calibri" w:hAnsi="Calibri"/>
          <w:b/>
          <w:bCs/>
          <w:color w:val="1E2A38"/>
          <w:sz w:val="20"/>
          <w:szCs w:val="20"/>
        </w:rPr>
        <w:t xml:space="preserve">Step 2 — Every tire passes through the 5-station indexed conveyor. 32-second cycle. 60–80 tires per hour at steady state.</w:t>
      </w:r>
    </w:p>
    <w:p>
      <w:pPr>
        <w:pStyle w:val="ListParagraph"/>
        <w:numPr>
          <w:ilvl w:val="0"/>
          <w:numId w:val="2"/>
        </w:numPr>
        <w:spacing w:after="50" w:before="50"/>
      </w:pPr>
      <w:r>
        <w:rPr>
          <w:rFonts w:ascii="Calibri" w:cs="Calibri" w:eastAsia="Calibri" w:hAnsi="Calibri"/>
          <w:b/>
          <w:bCs/>
          <w:color w:val="1E2A38"/>
          <w:sz w:val="20"/>
          <w:szCs w:val="20"/>
        </w:rPr>
        <w:t xml:space="preserve">Step 3 — Each tire receives an SR-A, SR-B, SR-C, or Fail grade. Immutable, timestamped record written to the Surety database.</w:t>
      </w:r>
    </w:p>
    <w:p>
      <w:pPr>
        <w:pStyle w:val="ListParagraph"/>
        <w:numPr>
          <w:ilvl w:val="0"/>
          <w:numId w:val="2"/>
        </w:numPr>
        <w:spacing w:after="50" w:before="50"/>
      </w:pPr>
      <w:r>
        <w:rPr>
          <w:rFonts w:ascii="Calibri" w:cs="Calibri" w:eastAsia="Calibri" w:hAnsi="Calibri"/>
          <w:b/>
          <w:bCs/>
          <w:color w:val="1E2A38"/>
          <w:sz w:val="20"/>
          <w:szCs w:val="20"/>
        </w:rPr>
        <w:t xml:space="preserve">Step 4 — Certified tires appear on the Surety marketplace with full inspection data. Partner sets asking price with Surety's comparable sales guidance.</w:t>
      </w:r>
    </w:p>
    <w:p>
      <w:pPr>
        <w:pStyle w:val="ListParagraph"/>
        <w:numPr>
          <w:ilvl w:val="0"/>
          <w:numId w:val="2"/>
        </w:numPr>
        <w:spacing w:after="50" w:before="50"/>
      </w:pPr>
      <w:r>
        <w:rPr>
          <w:rFonts w:ascii="Calibri" w:cs="Calibri" w:eastAsia="Calibri" w:hAnsi="Calibri"/>
          <w:b/>
          <w:bCs/>
          <w:color w:val="1E2A38"/>
          <w:sz w:val="20"/>
          <w:szCs w:val="20"/>
        </w:rPr>
        <w:t xml:space="preserve">Step 5 — When a tire sells, Surety earns a take rate. Partner receives the balance. No charge for tires that do not sell.</w:t>
      </w:r>
    </w:p>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6E" w:sz="24"/>
              <w:bottom w:val="none" w:color="FFFFFF" w:sz="0"/>
              <w:right w:val="none" w:color="FFFFFF" w:sz="0"/>
            </w:tcBorders>
            <w:shd w:fill="F2EEE4" w:val="clear"/>
            <w:tcMar>
              <w:top w:type="dxa" w:w="120"/>
              <w:left w:type="dxa" w:w="200"/>
              <w:bottom w:type="dxa" w:w="120"/>
              <w:right w:type="dxa" w:w="160"/>
            </w:tcMar>
          </w:tcPr>
          <w:p>
            <w:pPr>
              <w:spacing w:after="60" w:before="0"/>
            </w:pPr>
            <w:r>
              <w:rPr>
                <w:rFonts w:ascii="Calibri" w:cs="Calibri" w:eastAsia="Calibri" w:hAnsi="Calibri"/>
                <w:b/>
                <w:bCs/>
                <w:color w:val="C8A96E"/>
                <w:spacing w:val="40"/>
                <w:sz w:val="18"/>
                <w:szCs w:val="18"/>
              </w:rPr>
              <w:t xml:space="preserve">CORE PROPOSITION</w:t>
            </w:r>
          </w:p>
          <w:p>
            <w:pPr>
              <w:spacing w:after="0" w:before="0"/>
            </w:pPr>
            <w:r>
              <w:rPr>
                <w:rFonts w:ascii="Calibri" w:cs="Calibri" w:eastAsia="Calibri" w:hAnsi="Calibri"/>
                <w:i/>
                <w:iCs/>
                <w:color w:val="1E2A38"/>
                <w:sz w:val="20"/>
                <w:szCs w:val="20"/>
              </w:rPr>
              <w:t xml:space="preserve">Surety is a revenue generator for its partners — not a cost. Salvage yards have 400–800 tires sitting in piles generating nothing. Surety converts that dormant inventory into certified, listed, sellable product. The sales conversation has no friction: the partner's downside is zero.</w:t>
            </w:r>
          </w:p>
        </w:tc>
      </w:tr>
    </w:tbl>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The Take Rate Structure</w:t>
      </w:r>
    </w:p>
    <w:p>
      <w:pPr>
        <w:spacing w:after="100" w:before="80"/>
      </w:pPr>
      <w:r>
        <w:rPr>
          <w:rFonts w:ascii="Calibri" w:cs="Calibri" w:eastAsia="Calibri" w:hAnsi="Calibri"/>
          <w:color w:val="1E2A38"/>
          <w:sz w:val="21"/>
          <w:szCs w:val="21"/>
        </w:rPr>
        <w:t xml:space="preserve">A hybrid take rate — $7 flat plus 12% of sale price above $40 — protects Surety's economics on budget tires while capturing meaningful upside on premium SR-A inventory.</w:t>
      </w:r>
    </w:p>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2400"/>
        <w:gridCol w:w="2760"/>
      </w:tblGrid>
      <w:tr>
        <w:trPr>
          <w:tblHeader/>
        </w:trPr>
        <w:tc>
          <w:tcPr>
            <w:tcW w:type="dxa" w:w="24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Sale Price</w:t>
            </w:r>
          </w:p>
        </w:tc>
        <w:tc>
          <w:tcPr>
            <w:tcW w:type="dxa" w:w="18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Surety Take</w:t>
            </w:r>
          </w:p>
        </w:tc>
        <w:tc>
          <w:tcPr>
            <w:tcW w:type="dxa" w:w="24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Partner Receives</w:t>
            </w:r>
          </w:p>
        </w:tc>
        <w:tc>
          <w:tcPr>
            <w:tcW w:type="dxa" w:w="27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Effective Rate</w:t>
            </w:r>
          </w:p>
        </w:tc>
      </w:tr>
      <w:tr>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$25 (SR-C)</w:t>
            </w:r>
          </w:p>
        </w:tc>
        <w:tc>
          <w:tcPr>
            <w:tcW w:type="dxa" w:w="1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$7.00</w:t>
            </w:r>
          </w:p>
        </w:tc>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$18.00</w:t>
            </w:r>
          </w:p>
        </w:tc>
        <w:tc>
          <w:tcPr>
            <w:tcW w:type="dxa" w:w="2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28%</w:t>
            </w:r>
          </w:p>
        </w:tc>
      </w:tr>
      <w:tr>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$55 (SR-B)</w:t>
            </w:r>
          </w:p>
        </w:tc>
        <w:tc>
          <w:tcPr>
            <w:tcW w:type="dxa" w:w="1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$8.80</w:t>
            </w:r>
          </w:p>
        </w:tc>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$46.20</w:t>
            </w:r>
          </w:p>
        </w:tc>
        <w:tc>
          <w:tcPr>
            <w:tcW w:type="dxa" w:w="27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16%</w:t>
            </w:r>
          </w:p>
        </w:tc>
      </w:tr>
      <w:tr>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$90 (SR-A)</w:t>
            </w:r>
          </w:p>
        </w:tc>
        <w:tc>
          <w:tcPr>
            <w:tcW w:type="dxa" w:w="1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$13.00</w:t>
            </w:r>
          </w:p>
        </w:tc>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$77.00</w:t>
            </w:r>
          </w:p>
        </w:tc>
        <w:tc>
          <w:tcPr>
            <w:tcW w:type="dxa" w:w="2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14%</w:t>
            </w:r>
          </w:p>
        </w:tc>
      </w:tr>
      <w:tr>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$140 (SR-A premium)</w:t>
            </w:r>
          </w:p>
        </w:tc>
        <w:tc>
          <w:tcPr>
            <w:tcW w:type="dxa" w:w="1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$19.00</w:t>
            </w:r>
          </w:p>
        </w:tc>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$121.00</w:t>
            </w:r>
          </w:p>
        </w:tc>
        <w:tc>
          <w:tcPr>
            <w:tcW w:type="dxa" w:w="27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14%</w:t>
            </w:r>
          </w:p>
        </w:tc>
      </w:tr>
    </w:tbl>
    <w:p>
      <w:pPr>
        <w:spacing w:after="60" w:before="60"/>
      </w:pPr>
      <w:r>
        <w:t xml:space="preserve"/>
      </w:r>
    </w:p>
    <w:p>
      <w:pPr>
        <w:pStyle w:val="Heading2"/>
        <w:spacing w:after="100" w:before="320"/>
      </w:pPr>
      <w:r>
        <w:rPr>
          <w:rFonts w:ascii="Georgia" w:cs="Georgia" w:eastAsia="Georgia" w:hAnsi="Georgia"/>
          <w:b/>
          <w:bCs/>
          <w:color w:val="070C13"/>
          <w:sz w:val="28"/>
          <w:szCs w:val="28"/>
        </w:rPr>
        <w:t xml:space="preserve">Blended Revenue Per Scan</w:t>
      </w:r>
    </w:p>
    <w:tbl>
      <w:tblPr>
        <w:tblW w:type="dxa" w:w="8160"/>
        <w:tblBorders>
          <w:top w:val="single" w:color="auto" w:sz="4"/>
          <w:left w:val="single" w:color="auto" w:sz="4"/>
          <w:bottom w:val="single" w:color="auto" w:sz="4"/>
          <w:right w:val="single" w:color="auto" w:sz="4"/>
          <w:insideH w:val="single" w:color="auto" w:sz="4"/>
          <w:insideV w:val="single" w:color="auto" w:sz="4"/>
        </w:tblBorders>
      </w:tblPr>
      <w:tblGrid>
        <w:gridCol w:w="1400"/>
        <w:gridCol w:w="1300"/>
        <w:gridCol w:w="1400"/>
        <w:gridCol w:w="1200"/>
        <w:gridCol w:w="1300"/>
        <w:gridCol w:w="1560"/>
      </w:tblGrid>
      <w:tr>
        <w:trPr>
          <w:tblHeader/>
        </w:trPr>
        <w:tc>
          <w:tcPr>
            <w:tcW w:type="dxa" w:w="14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Grade</w:t>
            </w:r>
          </w:p>
        </w:tc>
        <w:tc>
          <w:tcPr>
            <w:tcW w:type="dxa" w:w="13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 of Scans</w:t>
            </w:r>
          </w:p>
        </w:tc>
        <w:tc>
          <w:tcPr>
            <w:tcW w:type="dxa" w:w="14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Sell-Through</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Avg Sale</w:t>
            </w:r>
          </w:p>
        </w:tc>
        <w:tc>
          <w:tcPr>
            <w:tcW w:type="dxa" w:w="13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Surety Take</w:t>
            </w:r>
          </w:p>
        </w:tc>
        <w:tc>
          <w:tcPr>
            <w:tcW w:type="dxa" w:w="15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Rev / Scan</w:t>
            </w:r>
          </w:p>
        </w:tc>
      </w:tr>
      <w:tr>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SR-A</w:t>
            </w:r>
          </w:p>
        </w:tc>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35%</w:t>
            </w:r>
          </w:p>
        </w:tc>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85%</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$88</w:t>
            </w:r>
          </w:p>
        </w:tc>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$14.16</w:t>
            </w:r>
          </w:p>
        </w:tc>
        <w:tc>
          <w:tcPr>
            <w:tcW w:type="dxa" w:w="15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$4.22</w:t>
            </w:r>
          </w:p>
        </w:tc>
      </w:tr>
      <w:tr>
        <w:tc>
          <w:tcPr>
            <w:tcW w:type="dxa" w:w="1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SR-B</w:t>
            </w:r>
          </w:p>
        </w:tc>
        <w:tc>
          <w:tcPr>
            <w:tcW w:type="dxa" w:w="13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40%</w:t>
            </w:r>
          </w:p>
        </w:tc>
        <w:tc>
          <w:tcPr>
            <w:tcW w:type="dxa" w:w="1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70%</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$56</w:t>
            </w:r>
          </w:p>
        </w:tc>
        <w:tc>
          <w:tcPr>
            <w:tcW w:type="dxa" w:w="13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$10.72</w:t>
            </w:r>
          </w:p>
        </w:tc>
        <w:tc>
          <w:tcPr>
            <w:tcW w:type="dxa" w:w="15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$2.97</w:t>
            </w:r>
          </w:p>
        </w:tc>
      </w:tr>
      <w:tr>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SR-C</w:t>
            </w:r>
          </w:p>
        </w:tc>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15%</w:t>
            </w:r>
          </w:p>
        </w:tc>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45%</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$27</w:t>
            </w:r>
          </w:p>
        </w:tc>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$7.00</w:t>
            </w:r>
          </w:p>
        </w:tc>
        <w:tc>
          <w:tcPr>
            <w:tcW w:type="dxa" w:w="15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$0.47</w:t>
            </w:r>
          </w:p>
        </w:tc>
      </w:tr>
      <w:tr>
        <w:tc>
          <w:tcPr>
            <w:tcW w:type="dxa" w:w="1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Fail</w:t>
            </w:r>
          </w:p>
        </w:tc>
        <w:tc>
          <w:tcPr>
            <w:tcW w:type="dxa" w:w="13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10%</w:t>
            </w:r>
          </w:p>
        </w:tc>
        <w:tc>
          <w:tcPr>
            <w:tcW w:type="dxa" w:w="1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0%</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3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5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$0</w:t>
            </w:r>
          </w:p>
        </w:tc>
      </w:tr>
      <w:tr>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Blended</w:t>
            </w:r>
          </w:p>
        </w:tc>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100%</w:t>
            </w:r>
          </w:p>
        </w:tc>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~65%</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5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$7.66</w:t>
            </w:r>
          </w:p>
        </w:tc>
      </w:tr>
    </w:tbl>
    <w:p>
      <w:pPr>
        <w:spacing w:after="60" w:before="60"/>
      </w:pPr>
      <w:r>
        <w:t xml:space="preserve"/>
      </w:r>
    </w:p>
    <w:p>
      <w:pPr>
        <w:pStyle w:val="Heading2"/>
        <w:spacing w:after="100" w:before="320"/>
      </w:pPr>
      <w:r>
        <w:rPr>
          <w:rFonts w:ascii="Georgia" w:cs="Georgia" w:eastAsia="Georgia" w:hAnsi="Georgia"/>
          <w:b/>
          <w:bCs/>
          <w:color w:val="070C13"/>
          <w:sz w:val="28"/>
          <w:szCs w:val="28"/>
        </w:rPr>
        <w:t xml:space="preserve">The Platform Flywheel</w:t>
      </w:r>
    </w:p>
    <w:p>
      <w:pPr>
        <w:spacing w:after="100" w:before="80"/>
      </w:pPr>
      <w:r>
        <w:rPr>
          <w:rFonts w:ascii="Calibri" w:cs="Calibri" w:eastAsia="Calibri" w:hAnsi="Calibri"/>
          <w:color w:val="1E2A38"/>
          <w:sz w:val="21"/>
          <w:szCs w:val="21"/>
        </w:rPr>
        <w:t xml:space="preserve">The consignment model creates a self-reinforcing network effect. More partner sites mean deeper certified inventory. Deeper inventory attracts more buyers. More buyers improve sell-through rates. Higher sell-through makes the Surety proposition more compelling to new partners.</w:t>
      </w:r>
    </w:p>
    <w:p>
      <w:pPr>
        <w:spacing w:after="40" w:before="60"/>
      </w:pPr>
      <w:r>
        <w:t xml:space="preserve"/>
      </w:r>
    </w:p>
    <w:p>
      <w:pPr>
        <w:pStyle w:val="ListParagraph"/>
        <w:numPr>
          <w:ilvl w:val="0"/>
          <w:numId w:val="2"/>
        </w:numPr>
        <w:spacing w:after="50" w:before="50"/>
      </w:pPr>
      <w:r>
        <w:rPr>
          <w:rFonts w:ascii="Calibri" w:cs="Calibri" w:eastAsia="Calibri" w:hAnsi="Calibri"/>
          <w:b w:val="false"/>
          <w:bCs w:val="false"/>
          <w:color w:val="1E2A38"/>
          <w:sz w:val="20"/>
          <w:szCs w:val="20"/>
        </w:rPr>
        <w:t xml:space="preserve">More partners → more certified inventory depth on the marketplace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More inventory → more buyer traffic → marketplace becomes the destination</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More buyers → higher sell-through → partners see real revenue from formerly dormant stock</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Proven partner outcomes → inbound new partners → outbound sales cost drops over time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More transactions → better pricing data → more accurate guidance → better sell-through</w:t>
      </w:r>
    </w:p>
    <w:p>
      <w:pPr>
        <w:spacing w:after="60" w:before="60"/>
      </w:pPr>
      <w:r>
        <w:t xml:space="preserve"/>
      </w:r>
    </w:p>
    <w:p>
      <w:pPr>
        <w:pStyle w:val="Heading1"/>
        <w:pBdr>
          <w:bottom w:val="single" w:color="C8A96E" w:sz="12" w:space="8"/>
        </w:pBdr>
        <w:spacing w:after="140" w:before="480"/>
      </w:pPr>
      <w:r>
        <w:rPr>
          <w:rFonts w:ascii="Georgia" w:cs="Georgia" w:eastAsia="Georgia" w:hAnsi="Georgia"/>
          <w:b/>
          <w:bCs/>
          <w:color w:val="070C13"/>
          <w:sz w:val="36"/>
          <w:szCs w:val="36"/>
        </w:rPr>
        <w:t xml:space="preserve">4. Technology</w:t>
      </w:r>
    </w:p>
    <w:p>
      <w:pPr>
        <w:pStyle w:val="Heading2"/>
        <w:spacing w:after="100" w:before="320"/>
      </w:pPr>
      <w:r>
        <w:rPr>
          <w:rFonts w:ascii="Georgia" w:cs="Georgia" w:eastAsia="Georgia" w:hAnsi="Georgia"/>
          <w:b/>
          <w:bCs/>
          <w:color w:val="070C13"/>
          <w:sz w:val="28"/>
          <w:szCs w:val="28"/>
        </w:rPr>
        <w:t xml:space="preserve">Design Philosophy: Proven Components, No R&amp;D Risk</w:t>
      </w:r>
    </w:p>
    <w:p>
      <w:pPr>
        <w:spacing w:after="100" w:before="80"/>
      </w:pPr>
      <w:r>
        <w:rPr>
          <w:rFonts w:ascii="Calibri" w:cs="Calibri" w:eastAsia="Calibri" w:hAnsi="Calibri"/>
          <w:color w:val="1E2A38"/>
          <w:sz w:val="21"/>
          <w:szCs w:val="21"/>
        </w:rPr>
        <w:t xml:space="preserve">The Surety inspection machine is built entirely from commercially available industrial components deployed in automotive service, food production, semiconductor inspection, and logistics today. The engineering challenge is integration and software, not novel physics. This is a deliberate strategic decision: it keeps the technology risk profile low, shortens the bench prototype timeline to 10–12 weeks, and means the machine can be assembled by a mechanical engineer and a software engineer with standard industrial automation experience.</w:t>
      </w:r>
    </w:p>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6E" w:sz="24"/>
              <w:bottom w:val="none" w:color="FFFFFF" w:sz="0"/>
              <w:right w:val="none" w:color="FFFFFF" w:sz="0"/>
            </w:tcBorders>
            <w:shd w:fill="F2EEE4" w:val="clear"/>
            <w:tcMar>
              <w:top w:type="dxa" w:w="120"/>
              <w:left w:type="dxa" w:w="200"/>
              <w:bottom w:type="dxa" w:w="120"/>
              <w:right w:type="dxa" w:w="160"/>
            </w:tcMar>
          </w:tcPr>
          <w:p>
            <w:pPr>
              <w:spacing w:after="60" w:before="0"/>
            </w:pPr>
            <w:r>
              <w:rPr>
                <w:rFonts w:ascii="Calibri" w:cs="Calibri" w:eastAsia="Calibri" w:hAnsi="Calibri"/>
                <w:b/>
                <w:bCs/>
                <w:color w:val="C8A96E"/>
                <w:spacing w:val="40"/>
                <w:sz w:val="18"/>
                <w:szCs w:val="18"/>
              </w:rPr>
              <w:t xml:space="preserve">KEY PRINCIPLE</w:t>
            </w:r>
          </w:p>
          <w:p>
            <w:pPr>
              <w:spacing w:after="0" w:before="0"/>
            </w:pPr>
            <w:r>
              <w:rPr>
                <w:rFonts w:ascii="Calibri" w:cs="Calibri" w:eastAsia="Calibri" w:hAnsi="Calibri"/>
                <w:i/>
                <w:iCs/>
                <w:color w:val="1E2A38"/>
                <w:sz w:val="20"/>
                <w:szCs w:val="20"/>
              </w:rPr>
              <w:t xml:space="preserve">The current market standard for used tire inspection is a human glancing at the tread. The bar Surety needs to clear is 'meaningfully better than anything the market currently has.' Three proven sensor technologies clear that bar decisively and cheaply.</w:t>
            </w:r>
          </w:p>
        </w:tc>
      </w:tr>
    </w:tbl>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The 5-Station Indexed Conveyor</w:t>
      </w:r>
    </w:p>
    <w:p>
      <w:pPr>
        <w:spacing w:after="100" w:before="80"/>
      </w:pPr>
      <w:r>
        <w:rPr>
          <w:rFonts w:ascii="Calibri" w:cs="Calibri" w:eastAsia="Calibri" w:hAnsi="Calibri"/>
          <w:color w:val="1E2A38"/>
          <w:sz w:val="21"/>
          <w:szCs w:val="21"/>
        </w:rPr>
        <w:t xml:space="preserve">The machine uses a stop-and-measure design: the conveyor indexes forward one station, stops, measures, then indexes again. This gives each sensor adequate dwell time while maintaining high throughput. The mechanical engineering is completely standard industrial automation — no novel physics required at any station.</w:t>
      </w:r>
    </w:p>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400"/>
        <w:gridCol w:w="2000"/>
        <w:gridCol w:w="1200"/>
        <w:gridCol w:w="3460"/>
      </w:tblGrid>
      <w:tr>
        <w:trPr>
          <w:tblHeader/>
        </w:trPr>
        <w:tc>
          <w:tcPr>
            <w:tcW w:type="dxa" w:w="13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Station</w:t>
            </w:r>
          </w:p>
        </w:tc>
        <w:tc>
          <w:tcPr>
            <w:tcW w:type="dxa" w:w="14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Function</w:t>
            </w:r>
          </w:p>
        </w:tc>
        <w:tc>
          <w:tcPr>
            <w:tcW w:type="dxa" w:w="20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Technology</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Dwell Time</w:t>
            </w:r>
          </w:p>
        </w:tc>
        <w:tc>
          <w:tcPr>
            <w:tcW w:type="dxa" w:w="34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Output</w:t>
            </w:r>
          </w:p>
        </w:tc>
      </w:tr>
      <w:tr>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0 — Entry</w:t>
            </w:r>
          </w:p>
        </w:tc>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Alignment</w:t>
            </w:r>
          </w:p>
        </w:tc>
        <w:tc>
          <w:tcPr>
            <w:tcW w:type="dxa" w:w="2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Guide rollers ±10mm</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 sec</w:t>
            </w:r>
          </w:p>
        </w:tc>
        <w:tc>
          <w:tcPr>
            <w:tcW w:type="dxa" w:w="34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Tire constrained for scan</w:t>
            </w:r>
          </w:p>
        </w:tc>
      </w:tr>
      <w:tr>
        <w:tc>
          <w:tcPr>
            <w:tcW w:type="dxa" w:w="13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1 — DOT</w:t>
            </w:r>
          </w:p>
        </w:tc>
        <w:tc>
          <w:tcPr>
            <w:tcW w:type="dxa" w:w="1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Identity &amp; age</w:t>
            </w:r>
          </w:p>
        </w:tc>
        <w:tc>
          <w:tcPr>
            <w:tcW w:type="dxa" w:w="2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Industrial camera + Anyline OCR SDK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 sec</w:t>
            </w:r>
          </w:p>
        </w:tc>
        <w:tc>
          <w:tcPr>
            <w:tcW w:type="dxa" w:w="34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DOT serial, manufacture date, size</w:t>
            </w:r>
          </w:p>
        </w:tc>
      </w:tr>
      <w:tr>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2 — Laser</w:t>
            </w:r>
          </w:p>
        </w:tc>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Tread depth</w:t>
            </w:r>
          </w:p>
        </w:tc>
        <w:tc>
          <w:tcPr>
            <w:tcW w:type="dxa" w:w="2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 Keyence laser line profilers</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 sec</w:t>
            </w:r>
          </w:p>
        </w:tc>
        <w:tc>
          <w:tcPr>
            <w:tcW w:type="dxa" w:w="34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4-point depth map ±0.1mm</w:t>
            </w:r>
          </w:p>
        </w:tc>
      </w:tr>
      <w:tr>
        <w:tc>
          <w:tcPr>
            <w:tcW w:type="dxa" w:w="13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3 — AI Visual</w:t>
            </w:r>
          </w:p>
        </w:tc>
        <w:tc>
          <w:tcPr>
            <w:tcW w:type="dxa" w:w="1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Surface condition</w:t>
            </w:r>
          </w:p>
        </w:tc>
        <w:tc>
          <w:tcPr>
            <w:tcW w:type="dxa" w:w="2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 cameras + NVIDIA Jetson + LED</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 sec</w:t>
            </w:r>
          </w:p>
        </w:tc>
        <w:tc>
          <w:tcPr>
            <w:tcW w:type="dxa" w:w="34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Defect flags: crack, bulge, bead, cord, wear</w:t>
            </w:r>
          </w:p>
        </w:tc>
      </w:tr>
      <w:tr>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4 — Grade</w:t>
            </w:r>
          </w:p>
        </w:tc>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Certification</w:t>
            </w:r>
          </w:p>
        </w:tc>
        <w:tc>
          <w:tcPr>
            <w:tcW w:type="dxa" w:w="2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Cloud algorithm + Zebra label printer</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 sec</w:t>
            </w:r>
          </w:p>
        </w:tc>
        <w:tc>
          <w:tcPr>
            <w:tcW w:type="dxa" w:w="34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SR grade, QR sticker, database record</w:t>
            </w:r>
          </w:p>
        </w:tc>
      </w:tr>
    </w:tbl>
    <w:p>
      <w:pPr>
        <w:spacing w:after="40" w:before="60"/>
      </w:pPr>
      <w:r>
        <w:t xml:space="preserve"/>
      </w:r>
    </w:p>
    <w:p>
      <w:pPr>
        <w:spacing w:after="100" w:before="80"/>
      </w:pPr>
      <w:r>
        <w:rPr>
          <w:rFonts w:ascii="Calibri" w:cs="Calibri" w:eastAsia="Calibri" w:hAnsi="Calibri"/>
          <w:color w:val="1E2A38"/>
          <w:sz w:val="21"/>
          <w:szCs w:val="21"/>
        </w:rPr>
        <w:t xml:space="preserve">Total cycle time per tire: approximately 32 seconds including conveyor indexing. Practical steady-state throughput with two operators: 60–80 tires per hour, or 360–480 tires per 6-hour operating day.</w:t>
      </w:r>
    </w:p>
    <w:p>
      <w:pPr>
        <w:spacing w:after="60" w:before="60"/>
      </w:pPr>
      <w:r>
        <w:t xml:space="preserve"/>
      </w:r>
    </w:p>
    <w:p>
      <w:pPr>
        <w:pStyle w:val="Heading2"/>
        <w:spacing w:after="100" w:before="320"/>
      </w:pPr>
      <w:r>
        <w:rPr>
          <w:rFonts w:ascii="Georgia" w:cs="Georgia" w:eastAsia="Georgia" w:hAnsi="Georgia"/>
          <w:b/>
          <w:bCs/>
          <w:color w:val="070C13"/>
          <w:sz w:val="28"/>
          <w:szCs w:val="28"/>
        </w:rPr>
        <w:t xml:space="preserve">Component Budget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2400"/>
        <w:gridCol w:w="2360"/>
      </w:tblGrid>
      <w:tr>
        <w:trPr>
          <w:tblHeader/>
        </w:trPr>
        <w:tc>
          <w:tcPr>
            <w:tcW w:type="dxa" w:w="46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Component</w:t>
            </w:r>
          </w:p>
        </w:tc>
        <w:tc>
          <w:tcPr>
            <w:tcW w:type="dxa" w:w="24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Vendor Options</w:t>
            </w:r>
          </w:p>
        </w:tc>
        <w:tc>
          <w:tcPr>
            <w:tcW w:type="dxa" w:w="23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Cost Range</w:t>
            </w:r>
          </w:p>
        </w:tc>
      </w:tr>
      <w:tr>
        <w:tc>
          <w:tcPr>
            <w:tcW w:type="dxa" w:w="4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DOT OCR camera + lens + LED + Anyline licence</w:t>
            </w:r>
          </w:p>
        </w:tc>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Basler / Anyline</w:t>
            </w:r>
          </w:p>
        </w:tc>
        <w:tc>
          <w:tcPr>
            <w:tcW w:type="dxa" w:w="23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$2,300–4,900</w:t>
            </w:r>
          </w:p>
        </w:tc>
      </w:tr>
      <w:tr>
        <w:tc>
          <w:tcPr>
            <w:tcW w:type="dxa" w:w="4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Laser profilers ×2</w:t>
            </w:r>
          </w:p>
        </w:tc>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Keyence LJ-X8000, Sick</w:t>
            </w:r>
          </w:p>
        </w:tc>
        <w:tc>
          <w:tcPr>
            <w:tcW w:type="dxa" w:w="23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$6,000–14,000</w:t>
            </w:r>
          </w:p>
        </w:tc>
      </w:tr>
      <w:tr>
        <w:tc>
          <w:tcPr>
            <w:tcW w:type="dxa" w:w="4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Visual cameras ×4 + LED lighting ×4</w:t>
            </w:r>
          </w:p>
        </w:tc>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Basler, CCS</w:t>
            </w:r>
          </w:p>
        </w:tc>
        <w:tc>
          <w:tcPr>
            <w:tcW w:type="dxa" w:w="23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$3,600–7,600</w:t>
            </w:r>
          </w:p>
        </w:tc>
      </w:tr>
      <w:tr>
        <w:tc>
          <w:tcPr>
            <w:tcW w:type="dxa" w:w="4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AI inference (NVIDIA Jetson AGX Orin)</w:t>
            </w:r>
          </w:p>
        </w:tc>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NVIDIA / distributors</w:t>
            </w:r>
          </w:p>
        </w:tc>
        <w:tc>
          <w:tcPr>
            <w:tcW w:type="dxa" w:w="23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$1,500–2,500</w:t>
            </w:r>
          </w:p>
        </w:tc>
      </w:tr>
      <w:tr>
        <w:tc>
          <w:tcPr>
            <w:tcW w:type="dxa" w:w="4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Indexed conveyor + frame + PLC</w:t>
            </w:r>
          </w:p>
        </w:tc>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Local fabrication + Allen-Bradley</w:t>
            </w:r>
          </w:p>
        </w:tc>
        <w:tc>
          <w:tcPr>
            <w:tcW w:type="dxa" w:w="23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$12,500–22,000</w:t>
            </w:r>
          </w:p>
        </w:tc>
      </w:tr>
      <w:tr>
        <w:tc>
          <w:tcPr>
            <w:tcW w:type="dxa" w:w="4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Label printer (Zebra ZT411) + void-film stock</w:t>
            </w:r>
          </w:p>
        </w:tc>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Zebra / CCL Industries</w:t>
            </w:r>
          </w:p>
        </w:tc>
        <w:tc>
          <w:tcPr>
            <w:tcW w:type="dxa" w:w="23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$2,600–4,700</w:t>
            </w:r>
          </w:p>
        </w:tc>
      </w:tr>
      <w:tr>
        <w:tc>
          <w:tcPr>
            <w:tcW w:type="dxa" w:w="4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Software integration + operator terminal</w:t>
            </w:r>
          </w:p>
        </w:tc>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Custom dev + Advantech</w:t>
            </w:r>
          </w:p>
        </w:tc>
        <w:tc>
          <w:tcPr>
            <w:tcW w:type="dxa" w:w="23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$9,800–16,400</w:t>
            </w:r>
          </w:p>
        </w:tc>
      </w:tr>
      <w:tr>
        <w:tc>
          <w:tcPr>
            <w:tcW w:type="dxa" w:w="4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Power distribution + comms</w:t>
            </w:r>
          </w:p>
        </w:tc>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Standard electrical</w:t>
            </w:r>
          </w:p>
        </w:tc>
        <w:tc>
          <w:tcPr>
            <w:tcW w:type="dxa" w:w="23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$2,700–4,500</w:t>
            </w:r>
          </w:p>
        </w:tc>
      </w:tr>
      <w:tr>
        <w:tc>
          <w:tcPr>
            <w:tcW w:type="dxa" w:w="4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Machine total</w:t>
            </w:r>
          </w:p>
        </w:tc>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
            </w:r>
          </w:p>
        </w:tc>
        <w:tc>
          <w:tcPr>
            <w:tcW w:type="dxa" w:w="23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$41,000–76,600</w:t>
            </w:r>
          </w:p>
        </w:tc>
      </w:tr>
      <w:tr>
        <w:tc>
          <w:tcPr>
            <w:tcW w:type="dxa" w:w="4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Van (used Sprinter/Transit) + fit-out + comms</w:t>
            </w:r>
          </w:p>
        </w:tc>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
            </w:r>
          </w:p>
        </w:tc>
        <w:tc>
          <w:tcPr>
            <w:tcW w:type="dxa" w:w="23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$44,500–59,500</w:t>
            </w:r>
          </w:p>
        </w:tc>
      </w:tr>
      <w:tr>
        <w:tc>
          <w:tcPr>
            <w:tcW w:type="dxa" w:w="4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Total per van</w:t>
            </w:r>
          </w:p>
        </w:tc>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
            </w:r>
          </w:p>
        </w:tc>
        <w:tc>
          <w:tcPr>
            <w:tcW w:type="dxa" w:w="23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~$100,000</w:t>
            </w:r>
          </w:p>
        </w:tc>
      </w:tr>
    </w:tbl>
    <w:p>
      <w:pPr>
        <w:spacing w:after="60" w:before="60"/>
      </w:pPr>
      <w:r>
        <w:t xml:space="preserve"/>
      </w:r>
    </w:p>
    <w:p>
      <w:pPr>
        <w:pStyle w:val="Heading2"/>
        <w:spacing w:after="100" w:before="320"/>
      </w:pPr>
      <w:r>
        <w:rPr>
          <w:rFonts w:ascii="Georgia" w:cs="Georgia" w:eastAsia="Georgia" w:hAnsi="Georgia"/>
          <w:b/>
          <w:bCs/>
          <w:color w:val="070C13"/>
          <w:sz w:val="28"/>
          <w:szCs w:val="28"/>
        </w:rPr>
        <w:t xml:space="preserve">What the SR Grade Certifies</w:t>
      </w:r>
    </w:p>
    <w:p>
      <w:pPr>
        <w:spacing w:after="80" w:before="220"/>
      </w:pPr>
      <w:r>
        <w:rPr>
          <w:rFonts w:ascii="Calibri" w:cs="Calibri" w:eastAsia="Calibri" w:hAnsi="Calibri"/>
          <w:b/>
          <w:bCs/>
          <w:color w:val="A8892E"/>
          <w:sz w:val="22"/>
          <w:szCs w:val="22"/>
        </w:rPr>
        <w:t xml:space="preserve">Covered by the SR Certification</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Tread depth — laser-measured at four spatial points across the full contact patch, ±0.1mm accuracy</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Tire age — calculated automatically from DOT manufacture date at time of inspection</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Sidewall visible condition — AI-detected cracking, bulges, exposed cords, bead damage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Tread visible condition — AI-detected uneven wear, cupping, feathering, puncture sites</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Prior visible repairs — AI-flagged and operator-confirmed before grade is issued</w:t>
      </w:r>
    </w:p>
    <w:p>
      <w:pPr>
        <w:spacing w:after="40" w:before="60"/>
      </w:pPr>
      <w:r>
        <w:t xml:space="preserve"/>
      </w:r>
    </w:p>
    <w:p>
      <w:pPr>
        <w:spacing w:after="80" w:before="220"/>
      </w:pPr>
      <w:r>
        <w:rPr>
          <w:rFonts w:ascii="Calibri" w:cs="Calibri" w:eastAsia="Calibri" w:hAnsi="Calibri"/>
          <w:b/>
          <w:bCs/>
          <w:color w:val="A8892E"/>
          <w:sz w:val="22"/>
          <w:szCs w:val="22"/>
        </w:rPr>
        <w:t xml:space="preserve">Explicitly Not Covered (Documented in Every Certification)</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Sub-surface belt separation without external surface manifestation</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Internal void size or depth</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Conditions undetectable by external visual and laser inspection at time of scan</w:t>
      </w:r>
    </w:p>
    <w:p>
      <w:pPr>
        <w:spacing w:after="40" w:before="60"/>
      </w:pPr>
      <w:r>
        <w:t xml:space="preserve"/>
      </w:r>
    </w:p>
    <w:p>
      <w:pPr>
        <w:spacing w:after="100" w:before="80"/>
      </w:pPr>
      <w:r>
        <w:rPr>
          <w:rFonts w:ascii="Calibri" w:cs="Calibri" w:eastAsia="Calibri" w:hAnsi="Calibri"/>
          <w:color w:val="1E2A38"/>
          <w:sz w:val="21"/>
          <w:szCs w:val="21"/>
        </w:rPr>
        <w:t xml:space="preserve">This scope is documented in every certification and in Surety's liability disclaimer. The legal framing is condition certification at time of inspection — the same model as vehicle state inspections and home inspectors. The overwhelming majority of used tire safety failures present visible symptoms that the AI visual system reliably detects.</w:t>
      </w:r>
    </w:p>
    <w:p>
      <w:pPr>
        <w:spacing w:after="60" w:before="60"/>
      </w:pPr>
      <w:r>
        <w:t xml:space="preserve"/>
      </w:r>
    </w:p>
    <w:p>
      <w:pPr>
        <w:pStyle w:val="Heading2"/>
        <w:spacing w:after="100" w:before="320"/>
      </w:pPr>
      <w:r>
        <w:rPr>
          <w:rFonts w:ascii="Georgia" w:cs="Georgia" w:eastAsia="Georgia" w:hAnsi="Georgia"/>
          <w:b/>
          <w:bCs/>
          <w:color w:val="070C13"/>
          <w:sz w:val="28"/>
          <w:szCs w:val="28"/>
        </w:rPr>
        <w:t xml:space="preserve">SR-A+ Upgrade Path — Year 2 to 3</w:t>
      </w:r>
    </w:p>
    <w:p>
      <w:pPr>
        <w:spacing w:after="100" w:before="80"/>
      </w:pPr>
      <w:r>
        <w:rPr>
          <w:rFonts w:ascii="Calibri" w:cs="Calibri" w:eastAsia="Calibri" w:hAnsi="Calibri"/>
          <w:color w:val="1E2A38"/>
          <w:sz w:val="21"/>
          <w:szCs w:val="21"/>
        </w:rPr>
        <w:t xml:space="preserve">Once the business is generating cash, a static-contact ultrasonic roller probe station can be installed on the existing conveyor between Station 3 and Station 4. The tire stops, a pneumatic arm presses the probe against the sidewall for 3–4 seconds per zone, and retracts. This adds 15–20 seconds per tire and adds the internal belt integrity claim.</w:t>
      </w:r>
    </w:p>
    <w:p>
      <w:pPr>
        <w:spacing w:after="40" w:before="60"/>
      </w:pPr>
      <w:r>
        <w:t xml:space="preserve"/>
      </w:r>
    </w:p>
    <w:p>
      <w:pPr>
        <w:spacing w:after="100" w:before="80"/>
      </w:pPr>
      <w:r>
        <w:rPr>
          <w:rFonts w:ascii="Calibri" w:cs="Calibri" w:eastAsia="Calibri" w:hAnsi="Calibri"/>
          <w:color w:val="1E2A38"/>
          <w:sz w:val="21"/>
          <w:szCs w:val="21"/>
        </w:rPr>
        <w:t xml:space="preserve">SR-A+ becomes a premium grade tier at a higher price point and feeds a premium insurance product tier. The business does not wait on ultrasonic to launch — it launches on proven technology, builds market position and data, then adds the enhancement when operating cash supports it.</w:t>
      </w:r>
    </w:p>
    <w:p>
      <w:pPr>
        <w:spacing w:after="60" w:before="60"/>
      </w:pPr>
      <w:r>
        <w:t xml:space="preserve"/>
      </w:r>
    </w:p>
    <w:p>
      <w:pPr>
        <w:pStyle w:val="Heading1"/>
        <w:pBdr>
          <w:bottom w:val="single" w:color="C8A96E" w:sz="12" w:space="8"/>
        </w:pBdr>
        <w:spacing w:after="140" w:before="480"/>
      </w:pPr>
      <w:r>
        <w:rPr>
          <w:rFonts w:ascii="Georgia" w:cs="Georgia" w:eastAsia="Georgia" w:hAnsi="Georgia"/>
          <w:b/>
          <w:bCs/>
          <w:color w:val="070C13"/>
          <w:sz w:val="36"/>
          <w:szCs w:val="36"/>
        </w:rPr>
        <w:t xml:space="preserve">5. SAE Standard Adoption</w:t>
      </w:r>
    </w:p>
    <w:p>
      <w:pPr>
        <w:pStyle w:val="Heading2"/>
        <w:spacing w:after="100" w:before="320"/>
      </w:pPr>
      <w:r>
        <w:rPr>
          <w:rFonts w:ascii="Georgia" w:cs="Georgia" w:eastAsia="Georgia" w:hAnsi="Georgia"/>
          <w:b/>
          <w:bCs/>
          <w:color w:val="070C13"/>
          <w:sz w:val="28"/>
          <w:szCs w:val="28"/>
        </w:rPr>
        <w:t xml:space="preserve">What SAE International Is</w:t>
      </w:r>
    </w:p>
    <w:p>
      <w:pPr>
        <w:spacing w:after="100" w:before="80"/>
      </w:pPr>
      <w:r>
        <w:rPr>
          <w:rFonts w:ascii="Calibri" w:cs="Calibri" w:eastAsia="Calibri" w:hAnsi="Calibri"/>
          <w:color w:val="1E2A38"/>
          <w:sz w:val="21"/>
          <w:szCs w:val="21"/>
        </w:rPr>
        <w:t xml:space="preserve">SAE International is a private, non-profit professional association — not a government entity. It was founded in 1905 and publishes voluntary consensus standards for the automotive, aerospace, and mobility industries. SAE standards carry no legal authority in themselves but become effectively mandatory through three indirect mechanisms that are more powerful in practice than direct regulation.</w:t>
      </w:r>
    </w:p>
    <w:p>
      <w:pPr>
        <w:spacing w:after="40" w:before="60"/>
      </w:pPr>
      <w:r>
        <w:t xml:space="preserve"/>
      </w:r>
    </w:p>
    <w:p>
      <w:pPr>
        <w:pStyle w:val="ListParagraph"/>
        <w:numPr>
          <w:ilvl w:val="0"/>
          <w:numId w:val="2"/>
        </w:numPr>
        <w:spacing w:after="50" w:before="50"/>
      </w:pPr>
      <w:r>
        <w:rPr>
          <w:rFonts w:ascii="Calibri" w:cs="Calibri" w:eastAsia="Calibri" w:hAnsi="Calibri"/>
          <w:b/>
          <w:bCs/>
          <w:color w:val="1E2A38"/>
          <w:sz w:val="20"/>
          <w:szCs w:val="20"/>
        </w:rPr>
        <w:t xml:space="preserve">Contract references — fleet operators, fleet insurers, and government vehicle pools write SAE standard numbers into procurement documents. Meeting the standard becomes mandatory for any supplier who wants the business.</w:t>
      </w:r>
    </w:p>
    <w:p>
      <w:pPr>
        <w:pStyle w:val="ListParagraph"/>
        <w:numPr>
          <w:ilvl w:val="0"/>
          <w:numId w:val="2"/>
        </w:numPr>
        <w:spacing w:after="50" w:before="50"/>
      </w:pPr>
      <w:r>
        <w:rPr>
          <w:rFonts w:ascii="Calibri" w:cs="Calibri" w:eastAsia="Calibri" w:hAnsi="Calibri"/>
          <w:b/>
          <w:bCs/>
          <w:color w:val="1E2A38"/>
          <w:sz w:val="20"/>
          <w:szCs w:val="20"/>
        </w:rPr>
        <w:t xml:space="preserve">Liability exposure — if a product fails and causes injury, deviation from the applicable SAE standard is treated as evidence of negligence in litigation. Companies comply not because the law requires it, but because their insurance requires it.</w:t>
      </w:r>
    </w:p>
    <w:p>
      <w:pPr>
        <w:pStyle w:val="ListParagraph"/>
        <w:numPr>
          <w:ilvl w:val="0"/>
          <w:numId w:val="2"/>
        </w:numPr>
        <w:spacing w:after="50" w:before="50"/>
      </w:pPr>
      <w:r>
        <w:rPr>
          <w:rFonts w:ascii="Calibri" w:cs="Calibri" w:eastAsia="Calibri" w:hAnsi="Calibri"/>
          <w:b/>
          <w:bCs/>
          <w:color w:val="1E2A38"/>
          <w:sz w:val="20"/>
          <w:szCs w:val="20"/>
        </w:rPr>
        <w:t xml:space="preserve">Regulatory adoption by reference — NHTSA, EPA, and state agencies frequently write regulations that simply say 'must meet SAE J-XXXX' rather than rewriting the technical criteria. At that point the voluntary standard becomes law.</w:t>
      </w:r>
    </w:p>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The Timeline</w:t>
      </w:r>
    </w:p>
    <w:p>
      <w:pPr>
        <w:spacing w:after="100" w:before="80"/>
      </w:pPr>
      <w:r>
        <w:rPr>
          <w:rFonts w:ascii="Calibri" w:cs="Calibri" w:eastAsia="Calibri" w:hAnsi="Calibri"/>
          <w:color w:val="1E2A38"/>
          <w:sz w:val="21"/>
          <w:szCs w:val="21"/>
        </w:rPr>
        <w:t xml:space="preserve">Surety begins the SAE process early — well before publication is needed — because the committee membership itself is the advantage. The company that leads the technical committee has the most influence over the criteria. Starting at Month 8 (with pilot data in hand) means Surety is in the room when the standard is being written.</w:t>
      </w:r>
    </w:p>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3800"/>
        <w:gridCol w:w="3160"/>
      </w:tblGrid>
      <w:tr>
        <w:trPr>
          <w:tblHeader/>
        </w:trPr>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Phase</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Timing</w:t>
            </w:r>
          </w:p>
        </w:tc>
        <w:tc>
          <w:tcPr>
            <w:tcW w:type="dxa" w:w="38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Action</w:t>
            </w:r>
          </w:p>
        </w:tc>
        <w:tc>
          <w:tcPr>
            <w:tcW w:type="dxa" w:w="31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Milestone</w:t>
            </w:r>
          </w:p>
        </w:tc>
      </w:tr>
      <w:tr>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Petition</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Month 8–12</w:t>
            </w:r>
          </w:p>
        </w:tc>
        <w:tc>
          <w:tcPr>
            <w:tcW w:type="dxa" w:w="3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Submit proposal to SAE with pilot operating data, grade distribution, and sell-through evidence</w:t>
            </w:r>
          </w:p>
        </w:tc>
        <w:tc>
          <w:tcPr>
            <w:tcW w:type="dxa" w:w="3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SAE agrees to form technical committee</w:t>
            </w:r>
          </w:p>
        </w:tc>
      </w:tr>
      <w:tr>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Committee</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Year 2</w:t>
            </w:r>
          </w:p>
        </w:tc>
        <w:tc>
          <w:tcPr>
            <w:tcW w:type="dxa" w:w="3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SAE assembles representatives from tire manufacturers, fleet operators, insurers, and NHTSA alongside Surety. Surety leads technical documentation.</w:t>
            </w:r>
          </w:p>
        </w:tc>
        <w:tc>
          <w:tcPr>
            <w:tcW w:type="dxa" w:w="3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Committee formed, Surety as technical lead</w:t>
            </w:r>
          </w:p>
        </w:tc>
      </w:tr>
      <w:tr>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Drafting</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Year 2–3</w:t>
            </w:r>
          </w:p>
        </w:tc>
        <w:tc>
          <w:tcPr>
            <w:tcW w:type="dxa" w:w="3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Surety's technical team writes the draft SR-A / SR-B / SR-C grade criteria, inspection protocols, equipment requirements, and certification language</w:t>
            </w:r>
          </w:p>
        </w:tc>
        <w:tc>
          <w:tcPr>
            <w:tcW w:type="dxa" w:w="3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Draft standard circulated for committee ballot</w:t>
            </w:r>
          </w:p>
        </w:tc>
      </w:tr>
      <w:tr>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Balloting</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Year 3–4</w:t>
            </w:r>
          </w:p>
        </w:tc>
        <w:tc>
          <w:tcPr>
            <w:tcW w:type="dxa" w:w="3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Committee votes, disputes resolved, revision cycles completed. SAE requires supermajority approval from all stakeholders.</w:t>
            </w:r>
          </w:p>
        </w:tc>
        <w:tc>
          <w:tcPr>
            <w:tcW w:type="dxa" w:w="3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Final ballot passed</w:t>
            </w:r>
          </w:p>
        </w:tc>
      </w:tr>
      <w:tr>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Publication</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Year 4–5</w:t>
            </w:r>
          </w:p>
        </w:tc>
        <w:tc>
          <w:tcPr>
            <w:tcW w:type="dxa" w:w="3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Standard published as SAE J-XXXX. Available for reference in procurement documents, insurance policies, and regulation.</w:t>
            </w:r>
          </w:p>
        </w:tc>
        <w:tc>
          <w:tcPr>
            <w:tcW w:type="dxa" w:w="3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SAE J-XXXX published</w:t>
            </w:r>
          </w:p>
        </w:tc>
      </w:tr>
      <w:tr>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Adoption</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Year 5+</w:t>
            </w:r>
          </w:p>
        </w:tc>
        <w:tc>
          <w:tcPr>
            <w:tcW w:type="dxa" w:w="3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Fleet operators and insurers begin referencing SAE J-XXXX in contracts. NHTSA discussions initiated for regulatory adoption.</w:t>
            </w:r>
          </w:p>
        </w:tc>
        <w:tc>
          <w:tcPr>
            <w:tcW w:type="dxa" w:w="3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Standard becomes effectively mandatory at scale</w:t>
            </w:r>
          </w:p>
        </w:tc>
      </w:tr>
    </w:tbl>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The Cost</w:t>
      </w:r>
    </w:p>
    <w:p>
      <w:pPr>
        <w:spacing w:after="100" w:before="80"/>
      </w:pPr>
      <w:r>
        <w:rPr>
          <w:rFonts w:ascii="Calibri" w:cs="Calibri" w:eastAsia="Calibri" w:hAnsi="Calibri"/>
          <w:color w:val="1E2A38"/>
          <w:sz w:val="21"/>
          <w:szCs w:val="21"/>
        </w:rPr>
        <w:t xml:space="preserve">SAE standard development is a multi-year investment, not a one-time fee. The costs are spread across the process and scale with the level of Surety's participation and leadership.</w:t>
      </w:r>
    </w:p>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4360"/>
      </w:tblGrid>
      <w:tr>
        <w:trPr>
          <w:tblHeader/>
        </w:trPr>
        <w:tc>
          <w:tcPr>
            <w:tcW w:type="dxa" w:w="28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Cost Item</w:t>
            </w:r>
          </w:p>
        </w:tc>
        <w:tc>
          <w:tcPr>
            <w:tcW w:type="dxa" w:w="2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Annual / Total</w:t>
            </w:r>
          </w:p>
        </w:tc>
        <w:tc>
          <w:tcPr>
            <w:tcW w:type="dxa" w:w="43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Notes</w:t>
            </w:r>
          </w:p>
        </w:tc>
      </w:tr>
      <w:tr>
        <w:tc>
          <w:tcPr>
            <w:tcW w:type="dxa" w:w="2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SAE committee membership fee</w:t>
            </w:r>
          </w:p>
        </w:tc>
        <w:tc>
          <w:tcPr>
            <w:tcW w:type="dxa" w:w="2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$5,000–15,000/yr</w:t>
            </w:r>
          </w:p>
        </w:tc>
        <w:tc>
          <w:tcPr>
            <w:tcW w:type="dxa" w:w="43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Required to participate in the technical committee. 3–4 years of participation.</w:t>
            </w:r>
          </w:p>
        </w:tc>
      </w:tr>
      <w:tr>
        <w:tc>
          <w:tcPr>
            <w:tcW w:type="dxa" w:w="2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Technical documentation</w:t>
            </w:r>
          </w:p>
        </w:tc>
        <w:tc>
          <w:tcPr>
            <w:tcW w:type="dxa" w:w="2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$30,000–60,000 total</w:t>
            </w:r>
          </w:p>
        </w:tc>
        <w:tc>
          <w:tcPr>
            <w:tcW w:type="dxa" w:w="43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Writing the draft standard specification — a full engineering document. Surety's internal team or contracted technical writer.</w:t>
            </w:r>
          </w:p>
        </w:tc>
      </w:tr>
      <w:tr>
        <w:tc>
          <w:tcPr>
            <w:tcW w:type="dxa" w:w="2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Legal review of standard language</w:t>
            </w:r>
          </w:p>
        </w:tc>
        <w:tc>
          <w:tcPr>
            <w:tcW w:type="dxa" w:w="2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$20,000–40,000 total</w:t>
            </w:r>
          </w:p>
        </w:tc>
        <w:tc>
          <w:tcPr>
            <w:tcW w:type="dxa" w:w="43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Every clause of the draft standard has liability implications. Specialist counsel reviews for Surety's exposure.</w:t>
            </w:r>
          </w:p>
        </w:tc>
      </w:tr>
      <w:tr>
        <w:tc>
          <w:tcPr>
            <w:tcW w:type="dxa" w:w="2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Committee meetings and travel</w:t>
            </w:r>
          </w:p>
        </w:tc>
        <w:tc>
          <w:tcPr>
            <w:tcW w:type="dxa" w:w="2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$15,000–30,000 total</w:t>
            </w:r>
          </w:p>
        </w:tc>
        <w:tc>
          <w:tcPr>
            <w:tcW w:type="dxa" w:w="43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SAE committees meet in-person quarterly during the drafting phase. Typically 8–12 meetings over 3 years.</w:t>
            </w:r>
          </w:p>
        </w:tc>
      </w:tr>
      <w:tr>
        <w:tc>
          <w:tcPr>
            <w:tcW w:type="dxa" w:w="2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Independent technical validation</w:t>
            </w:r>
          </w:p>
        </w:tc>
        <w:tc>
          <w:tcPr>
            <w:tcW w:type="dxa" w:w="2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$15,000–25,000 total</w:t>
            </w:r>
          </w:p>
        </w:tc>
        <w:tc>
          <w:tcPr>
            <w:tcW w:type="dxa" w:w="43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Third-party validation of the grade criteria against a large tire sample set — strengthens the committee submission.</w:t>
            </w:r>
          </w:p>
        </w:tc>
      </w:tr>
      <w:tr>
        <w:tc>
          <w:tcPr>
            <w:tcW w:type="dxa" w:w="2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Total estimated cost</w:t>
            </w:r>
          </w:p>
        </w:tc>
        <w:tc>
          <w:tcPr>
            <w:tcW w:type="dxa" w:w="2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$85,000–170,000</w:t>
            </w:r>
          </w:p>
        </w:tc>
        <w:tc>
          <w:tcPr>
            <w:tcW w:type="dxa" w:w="43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Spread over 3–4 years of the process</w:t>
            </w:r>
          </w:p>
        </w:tc>
      </w:tr>
    </w:tbl>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6E" w:sz="24"/>
              <w:bottom w:val="none" w:color="FFFFFF" w:sz="0"/>
              <w:right w:val="none" w:color="FFFFFF" w:sz="0"/>
            </w:tcBorders>
            <w:shd w:fill="F2EEE4" w:val="clear"/>
            <w:tcMar>
              <w:top w:type="dxa" w:w="120"/>
              <w:left w:type="dxa" w:w="200"/>
              <w:bottom w:type="dxa" w:w="120"/>
              <w:right w:type="dxa" w:w="160"/>
            </w:tcMar>
          </w:tcPr>
          <w:p>
            <w:pPr>
              <w:spacing w:after="60" w:before="0"/>
            </w:pPr>
            <w:r>
              <w:rPr>
                <w:rFonts w:ascii="Calibri" w:cs="Calibri" w:eastAsia="Calibri" w:hAnsi="Calibri"/>
                <w:b/>
                <w:bCs/>
                <w:color w:val="C8A96E"/>
                <w:spacing w:val="40"/>
                <w:sz w:val="18"/>
                <w:szCs w:val="18"/>
              </w:rPr>
              <w:t xml:space="preserve">COST IN CONTEXT</w:t>
            </w:r>
          </w:p>
          <w:p>
            <w:pPr>
              <w:spacing w:after="0" w:before="0"/>
            </w:pPr>
            <w:r>
              <w:rPr>
                <w:rFonts w:ascii="Calibri" w:cs="Calibri" w:eastAsia="Calibri" w:hAnsi="Calibri"/>
                <w:i/>
                <w:iCs/>
                <w:color w:val="1E2A38"/>
                <w:sz w:val="20"/>
                <w:szCs w:val="20"/>
              </w:rPr>
              <w:t xml:space="preserve">At $85–170k over 4 years, the SAE standard is approximately $25–45k per year — less than the salary of a single sales hire. Against the strategic value it creates, it is the highest-return investment Surety makes.</w:t>
            </w:r>
          </w:p>
        </w:tc>
      </w:tr>
    </w:tbl>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Why SAE Adoption Creates a Lasting Advantage</w:t>
      </w:r>
    </w:p>
    <w:p>
      <w:pPr>
        <w:spacing w:after="100" w:before="80"/>
      </w:pPr>
      <w:r>
        <w:rPr>
          <w:rFonts w:ascii="Calibri" w:cs="Calibri" w:eastAsia="Calibri" w:hAnsi="Calibri"/>
          <w:color w:val="1E2A38"/>
          <w:sz w:val="21"/>
          <w:szCs w:val="21"/>
        </w:rPr>
        <w:t xml:space="preserve">Standard authorship is the one competitive advantage that cannot be replicated regardless of capital. A competitor can copy the van, hire the engineers, and build a similar machine. They cannot retroactively become the organisation that wrote the industry standard. Each of the five advantages below is permanent once the standard is published.</w:t>
      </w:r>
    </w:p>
    <w:p>
      <w:pPr>
        <w:spacing w:after="40" w:before="60"/>
      </w:pPr>
      <w:r>
        <w:t xml:space="preserve"/>
      </w:r>
    </w:p>
    <w:p>
      <w:pPr>
        <w:spacing w:after="80" w:before="220"/>
      </w:pPr>
      <w:r>
        <w:rPr>
          <w:rFonts w:ascii="Calibri" w:cs="Calibri" w:eastAsia="Calibri" w:hAnsi="Calibri"/>
          <w:b/>
          <w:bCs/>
          <w:color w:val="A8892E"/>
          <w:sz w:val="22"/>
          <w:szCs w:val="22"/>
        </w:rPr>
        <w:t xml:space="preserve">1. Competitors Must Meet Our Specification</w:t>
      </w:r>
    </w:p>
    <w:p>
      <w:pPr>
        <w:spacing w:after="100" w:before="80"/>
      </w:pPr>
      <w:r>
        <w:rPr>
          <w:rFonts w:ascii="Calibri" w:cs="Calibri" w:eastAsia="Calibri" w:hAnsi="Calibri"/>
          <w:color w:val="1E2A38"/>
          <w:sz w:val="21"/>
          <w:szCs w:val="21"/>
        </w:rPr>
        <w:t xml:space="preserve">Once SAE J-XXXX defines what SR-A means — tread depth thresholds, age limits, AI visual detection requirements, sensor calibration protocols — every certification that wants to be taken seriously must meet those criteria. We defined them. Our system was designed around them. Any competitor building a certification service after publication is building to a standard we set.</w:t>
      </w:r>
    </w:p>
    <w:p>
      <w:pPr>
        <w:spacing w:after="40" w:before="60"/>
      </w:pPr>
      <w:r>
        <w:t xml:space="preserve"/>
      </w:r>
    </w:p>
    <w:p>
      <w:pPr>
        <w:spacing w:after="80" w:before="220"/>
      </w:pPr>
      <w:r>
        <w:rPr>
          <w:rFonts w:ascii="Calibri" w:cs="Calibri" w:eastAsia="Calibri" w:hAnsi="Calibri"/>
          <w:b/>
          <w:bCs/>
          <w:color w:val="A8892E"/>
          <w:sz w:val="22"/>
          <w:szCs w:val="22"/>
        </w:rPr>
        <w:t xml:space="preserve">2. Procurement Mandates Create Captive Demand</w:t>
      </w:r>
    </w:p>
    <w:p>
      <w:pPr>
        <w:spacing w:after="100" w:before="80"/>
      </w:pPr>
      <w:r>
        <w:rPr>
          <w:rFonts w:ascii="Calibri" w:cs="Calibri" w:eastAsia="Calibri" w:hAnsi="Calibri"/>
          <w:color w:val="1E2A38"/>
          <w:sz w:val="21"/>
          <w:szCs w:val="21"/>
        </w:rPr>
        <w:t xml:space="preserve">Fleet operators — rental car companies, logistics providers, bus operators, government vehicle pools — will include 'must meet SAE J-XXXX' in their tire procurement specifications once the standard exists. This converts an optional certification into a mandatory one for any supplier serving those accounts. Surety, as the only certifier built around the standard from Day 1, is the natural choice.</w:t>
      </w:r>
    </w:p>
    <w:p>
      <w:pPr>
        <w:spacing w:after="40" w:before="60"/>
      </w:pPr>
      <w:r>
        <w:t xml:space="preserve"/>
      </w:r>
    </w:p>
    <w:p>
      <w:pPr>
        <w:spacing w:after="80" w:before="220"/>
      </w:pPr>
      <w:r>
        <w:rPr>
          <w:rFonts w:ascii="Calibri" w:cs="Calibri" w:eastAsia="Calibri" w:hAnsi="Calibri"/>
          <w:b/>
          <w:bCs/>
          <w:color w:val="A8892E"/>
          <w:sz w:val="22"/>
          <w:szCs w:val="22"/>
        </w:rPr>
        <w:t xml:space="preserve">3. Insurance Market Participation</w:t>
      </w:r>
    </w:p>
    <w:p>
      <w:pPr>
        <w:spacing w:after="100" w:before="80"/>
      </w:pPr>
      <w:r>
        <w:rPr>
          <w:rFonts w:ascii="Calibri" w:cs="Calibri" w:eastAsia="Calibri" w:hAnsi="Calibri"/>
          <w:color w:val="1E2A38"/>
          <w:sz w:val="21"/>
          <w:szCs w:val="21"/>
        </w:rPr>
        <w:t xml:space="preserve">Insurance underwriters require an objective, independently validated standard before they can price risk on a used tire warranty product. The publication of SAE J-XXXX is the trigger that opens the broader insurance market to Surety's warranty product. Competitors launching after publication face the same insurance opportunity — but they lack Surety's claims history, which is the actuarial foundation for competitive pricing.</w:t>
      </w:r>
    </w:p>
    <w:p>
      <w:pPr>
        <w:spacing w:after="40" w:before="60"/>
      </w:pPr>
      <w:r>
        <w:t xml:space="preserve"/>
      </w:r>
    </w:p>
    <w:p>
      <w:pPr>
        <w:spacing w:after="80" w:before="220"/>
      </w:pPr>
      <w:r>
        <w:rPr>
          <w:rFonts w:ascii="Calibri" w:cs="Calibri" w:eastAsia="Calibri" w:hAnsi="Calibri"/>
          <w:b/>
          <w:bCs/>
          <w:color w:val="A8892E"/>
          <w:sz w:val="22"/>
          <w:szCs w:val="22"/>
        </w:rPr>
        <w:t xml:space="preserve">4. Regulatory Adoption Potential</w:t>
      </w:r>
    </w:p>
    <w:p>
      <w:pPr>
        <w:spacing w:after="100" w:before="80"/>
      </w:pPr>
      <w:r>
        <w:rPr>
          <w:rFonts w:ascii="Calibri" w:cs="Calibri" w:eastAsia="Calibri" w:hAnsi="Calibri"/>
          <w:color w:val="1E2A38"/>
          <w:sz w:val="21"/>
          <w:szCs w:val="21"/>
        </w:rPr>
        <w:t xml:space="preserve">NHTSA has authority over tire safety standards but has historically done very little with used tires. A published SAE standard developed with the participation of tire manufacturers, fleet operators, and insurers gives NHTSA a ready-made reference document to adopt if political or safety pressure leads to regulatory action. If that happens, certification becomes legally mandatory for used tire resale above a certain scale. Surety is positioned as the logical provider of that mandatory certification.</w:t>
      </w:r>
    </w:p>
    <w:p>
      <w:pPr>
        <w:spacing w:after="40" w:before="60"/>
      </w:pPr>
      <w:r>
        <w:t xml:space="preserve"/>
      </w:r>
    </w:p>
    <w:p>
      <w:pPr>
        <w:spacing w:after="80" w:before="220"/>
      </w:pPr>
      <w:r>
        <w:rPr>
          <w:rFonts w:ascii="Calibri" w:cs="Calibri" w:eastAsia="Calibri" w:hAnsi="Calibri"/>
          <w:b/>
          <w:bCs/>
          <w:color w:val="A8892E"/>
          <w:sz w:val="22"/>
          <w:szCs w:val="22"/>
        </w:rPr>
        <w:t xml:space="preserve">5. Brand Authority That Marketing Cannot Buy</w:t>
      </w:r>
    </w:p>
    <w:p>
      <w:pPr>
        <w:spacing w:after="100" w:before="80"/>
      </w:pPr>
      <w:r>
        <w:rPr>
          <w:rFonts w:ascii="Calibri" w:cs="Calibri" w:eastAsia="Calibri" w:hAnsi="Calibri"/>
          <w:color w:val="1E2A38"/>
          <w:sz w:val="21"/>
          <w:szCs w:val="21"/>
        </w:rPr>
        <w:t xml:space="preserve">The SAE mark on a certification document signals institutional credibility that no amount of brand marketing can replicate. When a fleet buyer, a dealer, or an individual consumer sees 'certified to SAE J-XXXX standard,' they are seeing a reference to the same body that defines motor oil viscosity grades, brake fluid ratings, and vehicle emissions test protocols. The credibility transfers immediately without explanation.</w:t>
      </w:r>
    </w:p>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6E" w:sz="24"/>
              <w:bottom w:val="none" w:color="FFFFFF" w:sz="0"/>
              <w:right w:val="none" w:color="FFFFFF" w:sz="0"/>
            </w:tcBorders>
            <w:shd w:fill="F2EEE4" w:val="clear"/>
            <w:tcMar>
              <w:top w:type="dxa" w:w="120"/>
              <w:left w:type="dxa" w:w="200"/>
              <w:bottom w:type="dxa" w:w="120"/>
              <w:right w:type="dxa" w:w="160"/>
            </w:tcMar>
          </w:tcPr>
          <w:p>
            <w:pPr>
              <w:spacing w:after="60" w:before="0"/>
            </w:pPr>
            <w:r>
              <w:rPr>
                <w:rFonts w:ascii="Calibri" w:cs="Calibri" w:eastAsia="Calibri" w:hAnsi="Calibri"/>
                <w:b/>
                <w:bCs/>
                <w:color w:val="C8A96E"/>
                <w:spacing w:val="40"/>
                <w:sz w:val="18"/>
                <w:szCs w:val="18"/>
              </w:rPr>
              <w:t xml:space="preserve">THE ONE-LINE SUMMARY</w:t>
            </w:r>
          </w:p>
          <w:p>
            <w:pPr>
              <w:spacing w:after="0" w:before="0"/>
            </w:pPr>
            <w:r>
              <w:rPr>
                <w:rFonts w:ascii="Calibri" w:cs="Calibri" w:eastAsia="Calibri" w:hAnsi="Calibri"/>
                <w:i/>
                <w:iCs/>
                <w:color w:val="1E2A38"/>
                <w:sz w:val="20"/>
                <w:szCs w:val="20"/>
              </w:rPr>
              <w:t xml:space="preserve">Surety writes the standard. Every other certifier in the market — every competitor, every imitator, every franchise operator not using Surety's system — has to meet criteria we defined. That advantage compounds every year the standard is in force.</w:t>
            </w:r>
          </w:p>
        </w:tc>
      </w:tr>
    </w:tbl>
    <w:p>
      <w:pPr>
        <w:spacing w:after="60" w:before="60"/>
      </w:pPr>
      <w:r>
        <w:t xml:space="preserve"/>
      </w:r>
    </w:p>
    <w:p>
      <w:pPr>
        <w:pStyle w:val="Heading1"/>
        <w:pBdr>
          <w:bottom w:val="single" w:color="C8A96E" w:sz="12" w:space="8"/>
        </w:pBdr>
        <w:spacing w:after="140" w:before="480"/>
      </w:pPr>
      <w:r>
        <w:rPr>
          <w:rFonts w:ascii="Georgia" w:cs="Georgia" w:eastAsia="Georgia" w:hAnsi="Georgia"/>
          <w:b/>
          <w:bCs/>
          <w:color w:val="070C13"/>
          <w:sz w:val="36"/>
          <w:szCs w:val="36"/>
        </w:rPr>
        <w:t xml:space="preserve">6. Financial Model</w:t>
      </w:r>
    </w:p>
    <w:p>
      <w:pPr>
        <w:pStyle w:val="Heading2"/>
        <w:spacing w:after="100" w:before="320"/>
      </w:pPr>
      <w:r>
        <w:rPr>
          <w:rFonts w:ascii="Georgia" w:cs="Georgia" w:eastAsia="Georgia" w:hAnsi="Georgia"/>
          <w:b/>
          <w:bCs/>
          <w:color w:val="070C13"/>
          <w:sz w:val="28"/>
          <w:szCs w:val="28"/>
        </w:rPr>
        <w:t xml:space="preserve">Key Assumptions</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Operating days per year: 210 (accounts for maintenance, travel, weather, client scheduling)</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Steady-state scans per day per van: 390 (65 tires/hr × 6 operating hours — reached Month 5 of van operation)</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Annual scans per mature van: 81,900 (390 × 210)</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Blended marketplace revenue per scan: $7.66 (grade mix × sell-through × take rate)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Insurance net retained: $3 per insured tire per year. 30% attach rate Year 1, 50% Year 4+</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Van operating cost fully loaded (2 operators, fuel, maintenance, insurance, consumables): $163,200/yr</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Van total capital cost: ~$100,000. Payback period at steady state: 4–5 months</w:t>
      </w:r>
    </w:p>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Van Unit Economics — Single Van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1000"/>
        <w:gridCol w:w="1000"/>
        <w:gridCol w:w="1500"/>
        <w:gridCol w:w="1200"/>
        <w:gridCol w:w="1200"/>
        <w:gridCol w:w="1760"/>
      </w:tblGrid>
      <w:tr>
        <w:trPr>
          <w:tblHeader/>
        </w:trPr>
        <w:tc>
          <w:tcPr>
            <w:tcW w:type="dxa" w:w="17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Period</w:t>
            </w:r>
          </w:p>
        </w:tc>
        <w:tc>
          <w:tcPr>
            <w:tcW w:type="dxa" w:w="10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Scans/Day</w:t>
            </w:r>
          </w:p>
        </w:tc>
        <w:tc>
          <w:tcPr>
            <w:tcW w:type="dxa" w:w="10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Op. Days</w:t>
            </w:r>
          </w:p>
        </w:tc>
        <w:tc>
          <w:tcPr>
            <w:tcW w:type="dxa" w:w="15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Annual Scans</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Gross Rev</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Van Cost</w:t>
            </w:r>
          </w:p>
        </w:tc>
        <w:tc>
          <w:tcPr>
            <w:tcW w:type="dxa" w:w="17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Net Contribution</w:t>
            </w:r>
          </w:p>
        </w:tc>
      </w:tr>
      <w:tr>
        <w:tc>
          <w:tcPr>
            <w:tcW w:type="dxa" w:w="17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Month 1–2</w:t>
            </w:r>
          </w:p>
        </w:tc>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180</w:t>
            </w:r>
          </w:p>
        </w:tc>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35</w:t>
            </w:r>
          </w:p>
        </w:tc>
        <w:tc>
          <w:tcPr>
            <w:tcW w:type="dxa" w:w="15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6,300</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$48k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$27k</w:t>
            </w:r>
          </w:p>
        </w:tc>
        <w:tc>
          <w:tcPr>
            <w:tcW w:type="dxa" w:w="1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$21k</w:t>
            </w:r>
          </w:p>
        </w:tc>
      </w:tr>
      <w:tr>
        <w:tc>
          <w:tcPr>
            <w:tcW w:type="dxa" w:w="17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Month 3–4</w:t>
            </w:r>
          </w:p>
        </w:tc>
        <w:tc>
          <w:tcPr>
            <w:tcW w:type="dxa" w:w="1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280</w:t>
            </w:r>
          </w:p>
        </w:tc>
        <w:tc>
          <w:tcPr>
            <w:tcW w:type="dxa" w:w="1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35</w:t>
            </w:r>
          </w:p>
        </w:tc>
        <w:tc>
          <w:tcPr>
            <w:tcW w:type="dxa" w:w="15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9,800</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$75k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$27k</w:t>
            </w:r>
          </w:p>
        </w:tc>
        <w:tc>
          <w:tcPr>
            <w:tcW w:type="dxa" w:w="17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$48k</w:t>
            </w:r>
          </w:p>
        </w:tc>
      </w:tr>
      <w:tr>
        <w:tc>
          <w:tcPr>
            <w:tcW w:type="dxa" w:w="17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Month 5–12</w:t>
            </w:r>
          </w:p>
        </w:tc>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390</w:t>
            </w:r>
          </w:p>
        </w:tc>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140</w:t>
            </w:r>
          </w:p>
        </w:tc>
        <w:tc>
          <w:tcPr>
            <w:tcW w:type="dxa" w:w="15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54,600</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$418k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$109k</w:t>
            </w:r>
          </w:p>
        </w:tc>
        <w:tc>
          <w:tcPr>
            <w:tcW w:type="dxa" w:w="1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$309k</w:t>
            </w:r>
          </w:p>
        </w:tc>
      </w:tr>
      <w:tr>
        <w:tc>
          <w:tcPr>
            <w:tcW w:type="dxa" w:w="17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1 Total</w:t>
            </w:r>
          </w:p>
        </w:tc>
        <w:tc>
          <w:tcPr>
            <w:tcW w:type="dxa" w:w="1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210</w:t>
            </w:r>
          </w:p>
        </w:tc>
        <w:tc>
          <w:tcPr>
            <w:tcW w:type="dxa" w:w="15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70,700</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$541k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$163k</w:t>
            </w:r>
          </w:p>
        </w:tc>
        <w:tc>
          <w:tcPr>
            <w:tcW w:type="dxa" w:w="17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$378k</w:t>
            </w:r>
          </w:p>
        </w:tc>
      </w:tr>
      <w:tr>
        <w:tc>
          <w:tcPr>
            <w:tcW w:type="dxa" w:w="17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2+ (mature)</w:t>
            </w:r>
          </w:p>
        </w:tc>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390</w:t>
            </w:r>
          </w:p>
        </w:tc>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210</w:t>
            </w:r>
          </w:p>
        </w:tc>
        <w:tc>
          <w:tcPr>
            <w:tcW w:type="dxa" w:w="15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81,900</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$627k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$163k</w:t>
            </w:r>
          </w:p>
        </w:tc>
        <w:tc>
          <w:tcPr>
            <w:tcW w:type="dxa" w:w="1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$464k</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6E" w:sz="24"/>
              <w:bottom w:val="none" w:color="FFFFFF" w:sz="0"/>
              <w:right w:val="none" w:color="FFFFFF" w:sz="0"/>
            </w:tcBorders>
            <w:shd w:fill="F2EEE4" w:val="clear"/>
            <w:tcMar>
              <w:top w:type="dxa" w:w="120"/>
              <w:left w:type="dxa" w:w="200"/>
              <w:bottom w:type="dxa" w:w="120"/>
              <w:right w:type="dxa" w:w="160"/>
            </w:tcMar>
          </w:tcPr>
          <w:p>
            <w:pPr>
              <w:spacing w:after="60" w:before="0"/>
            </w:pPr>
            <w:r>
              <w:rPr>
                <w:rFonts w:ascii="Calibri" w:cs="Calibri" w:eastAsia="Calibri" w:hAnsi="Calibri"/>
                <w:b/>
                <w:bCs/>
                <w:color w:val="C8A96E"/>
                <w:spacing w:val="40"/>
                <w:sz w:val="18"/>
                <w:szCs w:val="18"/>
              </w:rPr>
              <w:t xml:space="preserve">PAYBACK</w:t>
            </w:r>
          </w:p>
          <w:p>
            <w:pPr>
              <w:spacing w:after="0" w:before="0"/>
            </w:pPr>
            <w:r>
              <w:rPr>
                <w:rFonts w:ascii="Calibri" w:cs="Calibri" w:eastAsia="Calibri" w:hAnsi="Calibri"/>
                <w:i/>
                <w:iCs/>
                <w:color w:val="1E2A38"/>
                <w:sz w:val="20"/>
                <w:szCs w:val="20"/>
              </w:rPr>
              <w:t xml:space="preserve">The $100k van investment is recovered from operating cash in approximately 4–5 months at steady-state throughput. Van 2 and 3 are funded entirely from operating cash, requiring no additional external capital.</w:t>
            </w:r>
          </w:p>
        </w:tc>
      </w:tr>
    </w:tbl>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Van Deployment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1600"/>
        <w:gridCol w:w="1600"/>
        <w:gridCol w:w="2760"/>
      </w:tblGrid>
      <w:tr>
        <w:trPr>
          <w:tblHeader/>
        </w:trPr>
        <w:tc>
          <w:tcPr>
            <w:tcW w:type="dxa" w:w="18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Year</w:t>
            </w:r>
          </w:p>
        </w:tc>
        <w:tc>
          <w:tcPr>
            <w:tcW w:type="dxa" w:w="16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New Co. Vans</w:t>
            </w:r>
          </w:p>
        </w:tc>
        <w:tc>
          <w:tcPr>
            <w:tcW w:type="dxa" w:w="16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New Franchise</w:t>
            </w:r>
          </w:p>
        </w:tc>
        <w:tc>
          <w:tcPr>
            <w:tcW w:type="dxa" w:w="16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Total Vans</w:t>
            </w:r>
          </w:p>
        </w:tc>
        <w:tc>
          <w:tcPr>
            <w:tcW w:type="dxa" w:w="27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Total Annual Scans</w:t>
            </w:r>
          </w:p>
        </w:tc>
      </w:tr>
      <w:tr>
        <w:tc>
          <w:tcPr>
            <w:tcW w:type="dxa" w:w="1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1 (bench + pilot)</w:t>
            </w:r>
          </w:p>
        </w:tc>
        <w:tc>
          <w:tcPr>
            <w:tcW w:type="dxa" w:w="1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0</w:t>
            </w:r>
          </w:p>
        </w:tc>
        <w:tc>
          <w:tcPr>
            <w:tcW w:type="dxa" w:w="1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0</w:t>
            </w:r>
          </w:p>
        </w:tc>
        <w:tc>
          <w:tcPr>
            <w:tcW w:type="dxa" w:w="1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0</w:t>
            </w:r>
          </w:p>
        </w:tc>
        <w:tc>
          <w:tcPr>
            <w:tcW w:type="dxa" w:w="2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~5,000 (pilot bench)</w:t>
            </w:r>
          </w:p>
        </w:tc>
      </w:tr>
      <w:tr>
        <w:tc>
          <w:tcPr>
            <w:tcW w:type="dxa" w:w="1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2 (Van 1)</w:t>
            </w:r>
          </w:p>
        </w:tc>
        <w:tc>
          <w:tcPr>
            <w:tcW w:type="dxa" w:w="1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w:t>
            </w:r>
          </w:p>
        </w:tc>
        <w:tc>
          <w:tcPr>
            <w:tcW w:type="dxa" w:w="1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0</w:t>
            </w:r>
          </w:p>
        </w:tc>
        <w:tc>
          <w:tcPr>
            <w:tcW w:type="dxa" w:w="1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w:t>
            </w:r>
          </w:p>
        </w:tc>
        <w:tc>
          <w:tcPr>
            <w:tcW w:type="dxa" w:w="27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~71,000</w:t>
            </w:r>
          </w:p>
        </w:tc>
      </w:tr>
      <w:tr>
        <w:tc>
          <w:tcPr>
            <w:tcW w:type="dxa" w:w="1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3 (seed deployed)</w:t>
            </w:r>
          </w:p>
        </w:tc>
        <w:tc>
          <w:tcPr>
            <w:tcW w:type="dxa" w:w="1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w:t>
            </w:r>
          </w:p>
        </w:tc>
        <w:tc>
          <w:tcPr>
            <w:tcW w:type="dxa" w:w="1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w:t>
            </w:r>
          </w:p>
        </w:tc>
        <w:tc>
          <w:tcPr>
            <w:tcW w:type="dxa" w:w="1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w:t>
            </w:r>
          </w:p>
        </w:tc>
        <w:tc>
          <w:tcPr>
            <w:tcW w:type="dxa" w:w="2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~430,000</w:t>
            </w:r>
          </w:p>
        </w:tc>
      </w:tr>
      <w:tr>
        <w:tc>
          <w:tcPr>
            <w:tcW w:type="dxa" w:w="1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4</w:t>
            </w:r>
          </w:p>
        </w:tc>
        <w:tc>
          <w:tcPr>
            <w:tcW w:type="dxa" w:w="1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w:t>
            </w:r>
          </w:p>
        </w:tc>
        <w:tc>
          <w:tcPr>
            <w:tcW w:type="dxa" w:w="1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10</w:t>
            </w:r>
          </w:p>
        </w:tc>
        <w:tc>
          <w:tcPr>
            <w:tcW w:type="dxa" w:w="16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19</w:t>
            </w:r>
          </w:p>
        </w:tc>
        <w:tc>
          <w:tcPr>
            <w:tcW w:type="dxa" w:w="27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~1,160,000</w:t>
            </w:r>
          </w:p>
        </w:tc>
      </w:tr>
      <w:tr>
        <w:tc>
          <w:tcPr>
            <w:tcW w:type="dxa" w:w="1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5</w:t>
            </w:r>
          </w:p>
        </w:tc>
        <w:tc>
          <w:tcPr>
            <w:tcW w:type="dxa" w:w="1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w:t>
            </w:r>
          </w:p>
        </w:tc>
        <w:tc>
          <w:tcPr>
            <w:tcW w:type="dxa" w:w="1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16</w:t>
            </w:r>
          </w:p>
        </w:tc>
        <w:tc>
          <w:tcPr>
            <w:tcW w:type="dxa" w:w="16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37</w:t>
            </w:r>
          </w:p>
        </w:tc>
        <w:tc>
          <w:tcPr>
            <w:tcW w:type="dxa" w:w="2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~2,330,000</w:t>
            </w:r>
          </w:p>
        </w:tc>
      </w:tr>
    </w:tbl>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Revenue Build</w:t>
      </w:r>
    </w:p>
    <w:tbl>
      <w:tblPr>
        <w:tblW w:type="dxa" w:w="87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1200"/>
        <w:gridCol w:w="1200"/>
        <w:gridCol w:w="1200"/>
        <w:gridCol w:w="1160"/>
      </w:tblGrid>
      <w:tr>
        <w:trPr>
          <w:tblHeader/>
        </w:trPr>
        <w:tc>
          <w:tcPr>
            <w:tcW w:type="dxa" w:w="28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Revenue Stream</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Y1 (Proof)</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Y2</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Y3</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Y4</w:t>
            </w:r>
          </w:p>
        </w:tc>
        <w:tc>
          <w:tcPr>
            <w:tcW w:type="dxa" w:w="11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Y5</w:t>
            </w:r>
          </w:p>
        </w:tc>
      </w:tr>
      <w:tr>
        <w:tc>
          <w:tcPr>
            <w:tcW w:type="dxa" w:w="2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Marketplace — company vans</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$38k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$541k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$2.29M</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$4.58M</w:t>
            </w:r>
          </w:p>
        </w:tc>
        <w:tc>
          <w:tcPr>
            <w:tcW w:type="dxa" w:w="1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$6.87M</w:t>
            </w:r>
          </w:p>
        </w:tc>
      </w:tr>
      <w:tr>
        <w:tc>
          <w:tcPr>
            <w:tcW w:type="dxa" w:w="2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Marketplace — franchise royalties</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$988k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$3.30M</w:t>
            </w:r>
          </w:p>
        </w:tc>
        <w:tc>
          <w:tcPr>
            <w:tcW w:type="dxa" w:w="1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$7.99M</w:t>
            </w:r>
          </w:p>
        </w:tc>
      </w:tr>
      <w:tr>
        <w:tc>
          <w:tcPr>
            <w:tcW w:type="dxa" w:w="2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Insurance (net @ $3/tire/yr)</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$15k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$210k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$756k</w:t>
            </w:r>
          </w:p>
        </w:tc>
        <w:tc>
          <w:tcPr>
            <w:tcW w:type="dxa" w:w="1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$1.96M</w:t>
            </w:r>
          </w:p>
        </w:tc>
      </w:tr>
      <w:tr>
        <w:tc>
          <w:tcPr>
            <w:tcW w:type="dxa" w:w="2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Total Revenue</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$38k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$556k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$3.49M</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$8.64M</w:t>
            </w:r>
          </w:p>
        </w:tc>
        <w:tc>
          <w:tcPr>
            <w:tcW w:type="dxa" w:w="1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$16.82M</w:t>
            </w:r>
          </w:p>
        </w:tc>
      </w:tr>
    </w:tbl>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Cost Structure</w:t>
      </w:r>
    </w:p>
    <w:tbl>
      <w:tblPr>
        <w:tblW w:type="dxa" w:w="87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1200"/>
        <w:gridCol w:w="1200"/>
        <w:gridCol w:w="1200"/>
        <w:gridCol w:w="1160"/>
      </w:tblGrid>
      <w:tr>
        <w:trPr>
          <w:tblHeader/>
        </w:trPr>
        <w:tc>
          <w:tcPr>
            <w:tcW w:type="dxa" w:w="28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Cost Item</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Y1 (Proof)</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Y2</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Y3</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Y4</w:t>
            </w:r>
          </w:p>
        </w:tc>
        <w:tc>
          <w:tcPr>
            <w:tcW w:type="dxa" w:w="11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Y5</w:t>
            </w:r>
          </w:p>
        </w:tc>
      </w:tr>
      <w:tr>
        <w:tc>
          <w:tcPr>
            <w:tcW w:type="dxa" w:w="2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Bench + pilot operations</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$80k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r>
      <w:tr>
        <w:tc>
          <w:tcPr>
            <w:tcW w:type="dxa" w:w="2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Van operating costs (fully loaded)</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$163k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$489k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$815k</w:t>
            </w:r>
          </w:p>
        </w:tc>
        <w:tc>
          <w:tcPr>
            <w:tcW w:type="dxa" w:w="1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$1.14M</w:t>
            </w:r>
          </w:p>
        </w:tc>
      </w:tr>
      <w:tr>
        <w:tc>
          <w:tcPr>
            <w:tcW w:type="dxa" w:w="2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SAE standard process (annual)</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$25k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$35k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$35k</w:t>
            </w:r>
          </w:p>
        </w:tc>
        <w:tc>
          <w:tcPr>
            <w:tcW w:type="dxa" w:w="1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$30k</w:t>
            </w:r>
          </w:p>
        </w:tc>
      </w:tr>
      <w:tr>
        <w:tc>
          <w:tcPr>
            <w:tcW w:type="dxa" w:w="28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Central overhead</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$50k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$105k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$205k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$325k</w:t>
            </w:r>
          </w:p>
        </w:tc>
        <w:tc>
          <w:tcPr>
            <w:tcW w:type="dxa" w:w="1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$450k</w:t>
            </w:r>
          </w:p>
        </w:tc>
      </w:tr>
      <w:tr>
        <w:tc>
          <w:tcPr>
            <w:tcW w:type="dxa" w:w="28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Total Costs</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$130k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$293k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$729k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$1.18M</w:t>
            </w:r>
          </w:p>
        </w:tc>
        <w:tc>
          <w:tcPr>
            <w:tcW w:type="dxa" w:w="1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$1.62M</w:t>
            </w:r>
          </w:p>
        </w:tc>
      </w:tr>
    </w:tbl>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Profit and Free Cash Flow</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1200"/>
        <w:gridCol w:w="1200"/>
        <w:gridCol w:w="1200"/>
        <w:gridCol w:w="1160"/>
      </w:tblGrid>
      <w:tr>
        <w:trPr>
          <w:tblHeader/>
        </w:trPr>
        <w:tc>
          <w:tcPr>
            <w:tcW w:type="dxa" w:w="24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Metric</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Y1 (Proof)</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Y2</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Y3</w:t>
            </w:r>
          </w:p>
        </w:tc>
        <w:tc>
          <w:tcPr>
            <w:tcW w:type="dxa" w:w="1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Y4</w:t>
            </w:r>
          </w:p>
        </w:tc>
        <w:tc>
          <w:tcPr>
            <w:tcW w:type="dxa" w:w="11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Y5</w:t>
            </w:r>
          </w:p>
        </w:tc>
      </w:tr>
      <w:tr>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Total Revenue</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$38k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$556k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$3.49M</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$8.64M</w:t>
            </w:r>
          </w:p>
        </w:tc>
        <w:tc>
          <w:tcPr>
            <w:tcW w:type="dxa" w:w="1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$16.82M</w:t>
            </w:r>
          </w:p>
        </w:tc>
      </w:tr>
      <w:tr>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Total Costs</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$130k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$293k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$729k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$1.18M</w:t>
            </w:r>
          </w:p>
        </w:tc>
        <w:tc>
          <w:tcPr>
            <w:tcW w:type="dxa" w:w="1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$1.62M</w:t>
            </w:r>
          </w:p>
        </w:tc>
      </w:tr>
      <w:tr>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EBITDA</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($92k)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$263k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$2.76M</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$7.46M</w:t>
            </w:r>
          </w:p>
        </w:tc>
        <w:tc>
          <w:tcPr>
            <w:tcW w:type="dxa" w:w="1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$15.20M</w:t>
            </w:r>
          </w:p>
        </w:tc>
      </w:tr>
      <w:tr>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EBITDA Margin</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47%</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79%</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86%</w:t>
            </w:r>
          </w:p>
        </w:tc>
        <w:tc>
          <w:tcPr>
            <w:tcW w:type="dxa" w:w="1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90%</w:t>
            </w:r>
          </w:p>
        </w:tc>
      </w:tr>
      <w:tr>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Capex (van + equipment)</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$100k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$200k</w:t>
            </w:r>
          </w:p>
        </w:tc>
        <w:tc>
          <w:tcPr>
            <w:tcW w:type="dxa" w:w="1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$200k</w:t>
            </w:r>
          </w:p>
        </w:tc>
        <w:tc>
          <w:tcPr>
            <w:tcW w:type="dxa" w:w="1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$200k</w:t>
            </w:r>
          </w:p>
        </w:tc>
      </w:tr>
      <w:tr>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Free Cash Flow</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($92k)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$163k</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$2.56M</w:t>
            </w:r>
          </w:p>
        </w:tc>
        <w:tc>
          <w:tcPr>
            <w:tcW w:type="dxa" w:w="1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$7.26M</w:t>
            </w:r>
          </w:p>
        </w:tc>
        <w:tc>
          <w:tcPr>
            <w:tcW w:type="dxa" w:w="1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$15.00M</w:t>
            </w:r>
          </w:p>
        </w:tc>
      </w:tr>
    </w:tbl>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6E" w:sz="24"/>
              <w:bottom w:val="none" w:color="FFFFFF" w:sz="0"/>
              <w:right w:val="none" w:color="FFFFFF" w:sz="0"/>
            </w:tcBorders>
            <w:shd w:fill="F2EEE4" w:val="clear"/>
            <w:tcMar>
              <w:top w:type="dxa" w:w="120"/>
              <w:left w:type="dxa" w:w="200"/>
              <w:bottom w:type="dxa" w:w="120"/>
              <w:right w:type="dxa" w:w="160"/>
            </w:tcMar>
          </w:tcPr>
          <w:p>
            <w:pPr>
              <w:spacing w:after="60" w:before="0"/>
            </w:pPr>
            <w:r>
              <w:rPr>
                <w:rFonts w:ascii="Calibri" w:cs="Calibri" w:eastAsia="Calibri" w:hAnsi="Calibri"/>
                <w:b/>
                <w:bCs/>
                <w:color w:val="C8A96E"/>
                <w:spacing w:val="40"/>
                <w:sz w:val="18"/>
                <w:szCs w:val="18"/>
              </w:rPr>
              <w:t xml:space="preserve">PATH TO PROFITABILITY</w:t>
            </w:r>
          </w:p>
          <w:p>
            <w:pPr>
              <w:spacing w:after="0" w:before="0"/>
            </w:pPr>
            <w:r>
              <w:rPr>
                <w:rFonts w:ascii="Calibri" w:cs="Calibri" w:eastAsia="Calibri" w:hAnsi="Calibri"/>
                <w:i/>
                <w:iCs/>
                <w:color w:val="1E2A38"/>
                <w:sz w:val="20"/>
                <w:szCs w:val="20"/>
              </w:rPr>
              <w:t xml:space="preserve">Surety reaches EBITDA profitability in Year 2 with a single van. The bootstrap absorbs the proof phase cost. Van 2 and 3 are funded from Year 2 operating cash. The seed round accelerates the franchise model, not basic viability.</w:t>
            </w:r>
          </w:p>
        </w:tc>
      </w:tr>
    </w:tbl>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Capital Requirements</w:t>
      </w:r>
    </w:p>
    <w:tbl>
      <w:tblPr>
        <w:tblW w:type="dxa" w:w="9460"/>
        <w:tblBorders>
          <w:top w:val="single" w:color="auto" w:sz="4"/>
          <w:left w:val="single" w:color="auto" w:sz="4"/>
          <w:bottom w:val="single" w:color="auto" w:sz="4"/>
          <w:right w:val="single" w:color="auto" w:sz="4"/>
          <w:insideH w:val="single" w:color="auto" w:sz="4"/>
          <w:insideV w:val="single" w:color="auto" w:sz="4"/>
        </w:tblBorders>
      </w:tblPr>
      <w:tblGrid>
        <w:gridCol w:w="1400"/>
        <w:gridCol w:w="1300"/>
        <w:gridCol w:w="1500"/>
        <w:gridCol w:w="5260"/>
      </w:tblGrid>
      <w:tr>
        <w:trPr>
          <w:tblHeader/>
        </w:trPr>
        <w:tc>
          <w:tcPr>
            <w:tcW w:type="dxa" w:w="14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Round</w:t>
            </w:r>
          </w:p>
        </w:tc>
        <w:tc>
          <w:tcPr>
            <w:tcW w:type="dxa" w:w="13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Amount</w:t>
            </w:r>
          </w:p>
        </w:tc>
        <w:tc>
          <w:tcPr>
            <w:tcW w:type="dxa" w:w="15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Timing</w:t>
            </w:r>
          </w:p>
        </w:tc>
        <w:tc>
          <w:tcPr>
            <w:tcW w:type="dxa" w:w="52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Use of Funds</w:t>
            </w:r>
          </w:p>
        </w:tc>
      </w:tr>
      <w:tr>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Bootstrap</w:t>
            </w:r>
          </w:p>
        </w:tc>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$80–100k</w:t>
            </w:r>
          </w:p>
        </w:tc>
        <w:tc>
          <w:tcPr>
            <w:tcW w:type="dxa" w:w="15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Month 0–8</w:t>
            </w:r>
          </w:p>
        </w:tc>
        <w:tc>
          <w:tcPr>
            <w:tcW w:type="dxa" w:w="52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Bench prototype $48k · AI training $15k · Software MVP $28k · Legal $20k</w:t>
            </w:r>
          </w:p>
        </w:tc>
      </w:tr>
      <w:tr>
        <w:tc>
          <w:tcPr>
            <w:tcW w:type="dxa" w:w="1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Seed</w:t>
            </w:r>
          </w:p>
        </w:tc>
        <w:tc>
          <w:tcPr>
            <w:tcW w:type="dxa" w:w="13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$300–400k</w:t>
            </w:r>
          </w:p>
        </w:tc>
        <w:tc>
          <w:tcPr>
            <w:tcW w:type="dxa" w:w="15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Month 8–18</w:t>
            </w:r>
          </w:p>
        </w:tc>
        <w:tc>
          <w:tcPr>
            <w:tcW w:type="dxa" w:w="52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Van 1 $100k · Platform $120k · Operations $100k · Insurance/FDD $80k</w:t>
            </w:r>
          </w:p>
        </w:tc>
      </w:tr>
      <w:tr>
        <w:tc>
          <w:tcPr>
            <w:tcW w:type="dxa" w:w="1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Series A (optional)</w:t>
            </w:r>
          </w:p>
        </w:tc>
        <w:tc>
          <w:tcPr>
            <w:tcW w:type="dxa" w:w="13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$3–5M</w:t>
            </w:r>
          </w:p>
        </w:tc>
        <w:tc>
          <w:tcPr>
            <w:tcW w:type="dxa" w:w="15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Year 3+</w:t>
            </w:r>
          </w:p>
        </w:tc>
        <w:tc>
          <w:tcPr>
            <w:tcW w:type="dxa" w:w="52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Franchise acceleration · Company vans · SAE process completion</w:t>
            </w:r>
          </w:p>
        </w:tc>
      </w:tr>
    </w:tbl>
    <w:p>
      <w:pPr>
        <w:spacing w:after="60" w:before="60"/>
      </w:pPr>
      <w:r>
        <w:t xml:space="preserve"/>
      </w:r>
    </w:p>
    <w:p>
      <w:pPr>
        <w:pStyle w:val="Heading1"/>
        <w:pBdr>
          <w:bottom w:val="single" w:color="C8A96E" w:sz="12" w:space="8"/>
        </w:pBdr>
        <w:spacing w:after="140" w:before="480"/>
      </w:pPr>
      <w:r>
        <w:rPr>
          <w:rFonts w:ascii="Georgia" w:cs="Georgia" w:eastAsia="Georgia" w:hAnsi="Georgia"/>
          <w:b/>
          <w:bCs/>
          <w:color w:val="070C13"/>
          <w:sz w:val="36"/>
          <w:szCs w:val="36"/>
        </w:rPr>
        <w:t xml:space="preserve">7. Go-to-Market &amp; Roadmap</w:t>
      </w:r>
    </w:p>
    <w:p>
      <w:pPr>
        <w:pStyle w:val="Heading2"/>
        <w:spacing w:after="100" w:before="320"/>
      </w:pPr>
      <w:r>
        <w:rPr>
          <w:rFonts w:ascii="Georgia" w:cs="Georgia" w:eastAsia="Georgia" w:hAnsi="Georgia"/>
          <w:b/>
          <w:bCs/>
          <w:color w:val="070C13"/>
          <w:sz w:val="28"/>
          <w:szCs w:val="28"/>
        </w:rPr>
        <w:t xml:space="preserve">Phase 1 — Prove the Technology (Months 1–8, $80–100k)</w:t>
      </w:r>
    </w:p>
    <w:p>
      <w:pPr>
        <w:spacing w:after="80" w:before="220"/>
      </w:pPr>
      <w:r>
        <w:rPr>
          <w:rFonts w:ascii="Calibri" w:cs="Calibri" w:eastAsia="Calibri" w:hAnsi="Calibri"/>
          <w:b/>
          <w:bCs/>
          <w:color w:val="A8892E"/>
          <w:sz w:val="22"/>
          <w:szCs w:val="22"/>
        </w:rPr>
        <w:t xml:space="preserve">Bench Prototype — Months 1–3</w:t>
      </w:r>
    </w:p>
    <w:p>
      <w:pPr>
        <w:spacing w:after="100" w:before="80"/>
      </w:pPr>
      <w:r>
        <w:rPr>
          <w:rFonts w:ascii="Calibri" w:cs="Calibri" w:eastAsia="Calibri" w:hAnsi="Calibri"/>
          <w:color w:val="1E2A38"/>
          <w:sz w:val="21"/>
          <w:szCs w:val="21"/>
        </w:rPr>
        <w:t xml:space="preserve">Build the 5-station indexed conveyor in a warehouse using off-the-shelf components. The goal is to validate that the integrated sensor array produces consistent, reliable grades across a representative tire sample before committing any capital to a van.</w:t>
      </w:r>
    </w:p>
    <w:p>
      <w:pPr>
        <w:spacing w:after="40" w:before="60"/>
      </w:pPr>
      <w:r>
        <w:t xml:space="preserve"/>
      </w:r>
    </w:p>
    <w:p>
      <w:pPr>
        <w:pStyle w:val="ListParagraph"/>
        <w:numPr>
          <w:ilvl w:val="0"/>
          <w:numId w:val="2"/>
        </w:numPr>
        <w:spacing w:after="50" w:before="50"/>
      </w:pPr>
      <w:r>
        <w:rPr>
          <w:rFonts w:ascii="Calibri" w:cs="Calibri" w:eastAsia="Calibri" w:hAnsi="Calibri"/>
          <w:b w:val="false"/>
          <w:bCs w:val="false"/>
          <w:color w:val="1E2A38"/>
          <w:sz w:val="20"/>
          <w:szCs w:val="20"/>
        </w:rPr>
        <w:t xml:space="preserve">Source and assemble all components: DOT OCR, laser profilers, camera array, Jetson, conveyor, PLC</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Source 400–500 tires from local salvage — mix of sizes, conditions, and ages</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Experienced tire technician labels each tire for 8 defect classes — creates the AI training set</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Target grade repeatability: same tire gives same grade ≥ 98% of repeated runs</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Target false positive rate: &lt; 3% SR-A incorrect on tires with confirmed defects</w:t>
      </w:r>
    </w:p>
    <w:p>
      <w:pPr>
        <w:spacing w:after="40" w:before="60"/>
      </w:pPr>
      <w:r>
        <w:t xml:space="preserve"/>
      </w:r>
    </w:p>
    <w:p>
      <w:pPr>
        <w:spacing w:after="80" w:before="220"/>
      </w:pPr>
      <w:r>
        <w:rPr>
          <w:rFonts w:ascii="Calibri" w:cs="Calibri" w:eastAsia="Calibri" w:hAnsi="Calibri"/>
          <w:b/>
          <w:bCs/>
          <w:color w:val="A8892E"/>
          <w:sz w:val="22"/>
          <w:szCs w:val="22"/>
        </w:rPr>
        <w:t xml:space="preserve">Pilot Partners — Months 4–8</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Partner 1: Regional salvage yard, 300–600 tires in inventory. Scan everything, list certified tires.</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Partner 2: Fleet operator or regional auction — different inventory profile, validates model generalises.</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Simple marketplace listing page — functional, real transactions, not yet a full platform.</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Success metric: &gt; 50% sell-through on SR-A and SR-B within 60 days of listing.</w:t>
      </w:r>
    </w:p>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6E" w:sz="24"/>
              <w:bottom w:val="none" w:color="FFFFFF" w:sz="0"/>
              <w:right w:val="none" w:color="FFFFFF" w:sz="0"/>
            </w:tcBorders>
            <w:shd w:fill="F2EEE4" w:val="clear"/>
            <w:tcMar>
              <w:top w:type="dxa" w:w="120"/>
              <w:left w:type="dxa" w:w="200"/>
              <w:bottom w:type="dxa" w:w="120"/>
              <w:right w:type="dxa" w:w="160"/>
            </w:tcMar>
          </w:tcPr>
          <w:p>
            <w:pPr>
              <w:spacing w:after="60" w:before="0"/>
            </w:pPr>
            <w:r>
              <w:rPr>
                <w:rFonts w:ascii="Calibri" w:cs="Calibri" w:eastAsia="Calibri" w:hAnsi="Calibri"/>
                <w:b/>
                <w:bCs/>
                <w:color w:val="C8A96E"/>
                <w:spacing w:val="40"/>
                <w:sz w:val="18"/>
                <w:szCs w:val="18"/>
              </w:rPr>
              <w:t xml:space="preserve">SAE — START THE CONVERSATION NOW</w:t>
            </w:r>
          </w:p>
          <w:p>
            <w:pPr>
              <w:spacing w:after="0" w:before="0"/>
            </w:pPr>
            <w:r>
              <w:rPr>
                <w:rFonts w:ascii="Calibri" w:cs="Calibri" w:eastAsia="Calibri" w:hAnsi="Calibri"/>
                <w:i/>
                <w:iCs/>
                <w:color w:val="1E2A38"/>
                <w:sz w:val="20"/>
                <w:szCs w:val="20"/>
              </w:rPr>
              <w:t xml:space="preserve">Submit the SAE petition at Month 8 — when operating data from the pilot is available but before the seed round closes. Showing up to the SAE with real inspection data and real sell-through numbers is materially more credible than showing up with a concept. The earlier Surety is in the process, the more influence it has over the final standard.</w:t>
            </w:r>
          </w:p>
        </w:tc>
      </w:tr>
    </w:tbl>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Phase 2 — Build the Marketplace (Months 8–24, $300–400k Seed)</w:t>
      </w:r>
    </w:p>
    <w:p>
      <w:pPr>
        <w:spacing w:after="80" w:before="220"/>
      </w:pPr>
      <w:r>
        <w:rPr>
          <w:rFonts w:ascii="Calibri" w:cs="Calibri" w:eastAsia="Calibri" w:hAnsi="Calibri"/>
          <w:b/>
          <w:bCs/>
          <w:color w:val="A8892E"/>
          <w:sz w:val="22"/>
          <w:szCs w:val="22"/>
        </w:rPr>
        <w:t xml:space="preserve">Van 1 — Mobile Deployment</w:t>
      </w:r>
    </w:p>
    <w:p>
      <w:pPr>
        <w:spacing w:after="100" w:before="80"/>
      </w:pPr>
      <w:r>
        <w:rPr>
          <w:rFonts w:ascii="Calibri" w:cs="Calibri" w:eastAsia="Calibri" w:hAnsi="Calibri"/>
          <w:color w:val="1E2A38"/>
          <w:sz w:val="21"/>
          <w:szCs w:val="21"/>
        </w:rPr>
        <w:t xml:space="preserve">The bench prototype machine is refined based on pilot learnings and integrated into a Sprinter or Transit van. Two operators: Person A on intake (DOT, tire presentation) and Person B on output (sticker application, stack routing). Steady-state throughput of 60–80 tires per hour reached by Month 5 of van operation.</w:t>
      </w:r>
    </w:p>
    <w:p>
      <w:pPr>
        <w:spacing w:after="40" w:before="60"/>
      </w:pPr>
      <w:r>
        <w:t xml:space="preserve"/>
      </w:r>
    </w:p>
    <w:p>
      <w:pPr>
        <w:spacing w:after="80" w:before="220"/>
      </w:pPr>
      <w:r>
        <w:rPr>
          <w:rFonts w:ascii="Calibri" w:cs="Calibri" w:eastAsia="Calibri" w:hAnsi="Calibri"/>
          <w:b/>
          <w:bCs/>
          <w:color w:val="A8892E"/>
          <w:sz w:val="22"/>
          <w:szCs w:val="22"/>
        </w:rPr>
        <w:t xml:space="preserve">Partner Network — 5 to 8 Sites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200"/>
        <w:gridCol w:w="2000"/>
        <w:gridCol w:w="2760"/>
      </w:tblGrid>
      <w:tr>
        <w:trPr>
          <w:tblHeader/>
        </w:trPr>
        <w:tc>
          <w:tcPr>
            <w:tcW w:type="dxa" w:w="24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Partner Type</w:t>
            </w:r>
          </w:p>
        </w:tc>
        <w:tc>
          <w:tcPr>
            <w:tcW w:type="dxa" w:w="2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Avg Inventory</w:t>
            </w:r>
          </w:p>
        </w:tc>
        <w:tc>
          <w:tcPr>
            <w:tcW w:type="dxa" w:w="20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Visit Cadence</w:t>
            </w:r>
          </w:p>
        </w:tc>
        <w:tc>
          <w:tcPr>
            <w:tcW w:type="dxa" w:w="27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Monthly Scans</w:t>
            </w:r>
          </w:p>
        </w:tc>
      </w:tr>
      <w:tr>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Large salvage yard</w:t>
            </w:r>
          </w:p>
        </w:tc>
        <w:tc>
          <w:tcPr>
            <w:tcW w:type="dxa" w:w="2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600–1,000 tires</w:t>
            </w:r>
          </w:p>
        </w:tc>
        <w:tc>
          <w:tcPr>
            <w:tcW w:type="dxa" w:w="2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Weekly</w:t>
            </w:r>
          </w:p>
        </w:tc>
        <w:tc>
          <w:tcPr>
            <w:tcW w:type="dxa" w:w="2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500–700</w:t>
            </w:r>
          </w:p>
        </w:tc>
      </w:tr>
      <w:tr>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Fleet disposal operator</w:t>
            </w:r>
          </w:p>
        </w:tc>
        <w:tc>
          <w:tcPr>
            <w:tcW w:type="dxa" w:w="2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200–400 tires</w:t>
            </w:r>
          </w:p>
        </w:tc>
        <w:tc>
          <w:tcPr>
            <w:tcW w:type="dxa" w:w="2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Bi-weekly</w:t>
            </w:r>
          </w:p>
        </w:tc>
        <w:tc>
          <w:tcPr>
            <w:tcW w:type="dxa" w:w="27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200–350</w:t>
            </w:r>
          </w:p>
        </w:tc>
      </w:tr>
      <w:tr>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Regional auction house</w:t>
            </w:r>
          </w:p>
        </w:tc>
        <w:tc>
          <w:tcPr>
            <w:tcW w:type="dxa" w:w="2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150–300/event</w:t>
            </w:r>
          </w:p>
        </w:tc>
        <w:tc>
          <w:tcPr>
            <w:tcW w:type="dxa" w:w="2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Weekly event</w:t>
            </w:r>
          </w:p>
        </w:tc>
        <w:tc>
          <w:tcPr>
            <w:tcW w:type="dxa" w:w="27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200–350</w:t>
            </w:r>
          </w:p>
        </w:tc>
      </w:tr>
      <w:tr>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Dealer group (multi-site)</w:t>
            </w:r>
          </w:p>
        </w:tc>
        <w:tc>
          <w:tcPr>
            <w:tcW w:type="dxa" w:w="2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50–150/site</w:t>
            </w:r>
          </w:p>
        </w:tc>
        <w:tc>
          <w:tcPr>
            <w:tcW w:type="dxa" w:w="2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Monthly</w:t>
            </w:r>
          </w:p>
        </w:tc>
        <w:tc>
          <w:tcPr>
            <w:tcW w:type="dxa" w:w="27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100–250</w:t>
            </w:r>
          </w:p>
        </w:tc>
      </w:tr>
    </w:tbl>
    <w:p>
      <w:pPr>
        <w:spacing w:after="40" w:before="60"/>
      </w:pPr>
      <w:r>
        <w:t xml:space="preserve"/>
      </w:r>
    </w:p>
    <w:p>
      <w:pPr>
        <w:spacing w:after="80" w:before="220"/>
      </w:pPr>
      <w:r>
        <w:rPr>
          <w:rFonts w:ascii="Calibri" w:cs="Calibri" w:eastAsia="Calibri" w:hAnsi="Calibri"/>
          <w:b/>
          <w:bCs/>
          <w:color w:val="A8892E"/>
          <w:sz w:val="22"/>
          <w:szCs w:val="22"/>
        </w:rPr>
        <w:t xml:space="preserve">SAE Committee — Year 2</w:t>
      </w:r>
    </w:p>
    <w:p>
      <w:pPr>
        <w:spacing w:after="100" w:before="80"/>
      </w:pPr>
      <w:r>
        <w:rPr>
          <w:rFonts w:ascii="Calibri" w:cs="Calibri" w:eastAsia="Calibri" w:hAnsi="Calibri"/>
          <w:color w:val="1E2A38"/>
          <w:sz w:val="21"/>
          <w:szCs w:val="21"/>
        </w:rPr>
        <w:t xml:space="preserve">With SAE petition accepted, the technical committee forms in Year 2. Surety leads the technical documentation — drafting the SR-A / SR-B / SR-C grade criteria, inspection protocols, equipment requirements, and certification language. This work is largely done by Surety's technical team and the same product liability counsel who drafted the certification disclaimer.</w:t>
      </w:r>
    </w:p>
    <w:p>
      <w:pPr>
        <w:spacing w:after="60" w:before="80"/>
      </w:pPr>
      <w:r>
        <w:t xml:space="preserve"/>
      </w:r>
    </w:p>
    <w:p>
      <w:pPr>
        <w:pStyle w:val="Heading2"/>
        <w:spacing w:after="100" w:before="320"/>
      </w:pPr>
      <w:r>
        <w:rPr>
          <w:rFonts w:ascii="Georgia" w:cs="Georgia" w:eastAsia="Georgia" w:hAnsi="Georgia"/>
          <w:b/>
          <w:bCs/>
          <w:color w:val="070C13"/>
          <w:sz w:val="28"/>
          <w:szCs w:val="28"/>
        </w:rPr>
        <w:t xml:space="preserve">Phase 3 — Scale (Year 3+, Optional Series A)</w:t>
      </w:r>
    </w:p>
    <w:p>
      <w:pPr>
        <w:spacing w:after="80" w:before="220"/>
      </w:pPr>
      <w:r>
        <w:rPr>
          <w:rFonts w:ascii="Calibri" w:cs="Calibri" w:eastAsia="Calibri" w:hAnsi="Calibri"/>
          <w:b/>
          <w:bCs/>
          <w:color w:val="A8892E"/>
          <w:sz w:val="22"/>
          <w:szCs w:val="22"/>
        </w:rPr>
        <w:t xml:space="preserve">Franchise Model</w:t>
      </w:r>
    </w:p>
    <w:p>
      <w:pPr>
        <w:spacing w:after="100" w:before="80"/>
      </w:pPr>
      <w:r>
        <w:rPr>
          <w:rFonts w:ascii="Calibri" w:cs="Calibri" w:eastAsia="Calibri" w:hAnsi="Calibri"/>
          <w:color w:val="1E2A38"/>
          <w:sz w:val="21"/>
          <w:szCs w:val="21"/>
        </w:rPr>
        <w:t xml:space="preserve">Each franchisee purchases a fitted van (~$100k), operates within an exclusive territory, and feeds all certified inventory into the central Surety marketplace. At 60–80 tires per hour and $7.66 blended revenue per scan, a franchisee generates $450–550k gross marketplace revenue per year. After paying the Surety royalty ($3/scan + 20% take), net franchisee income is approximately $280–380k annually. Payback on van investment: 4–5 months.</w:t>
      </w:r>
    </w:p>
    <w:p>
      <w:pPr>
        <w:spacing w:after="40" w:before="60"/>
      </w:pPr>
      <w:r>
        <w:t xml:space="preserve"/>
      </w:r>
    </w:p>
    <w:p>
      <w:pPr>
        <w:spacing w:after="80" w:before="220"/>
      </w:pPr>
      <w:r>
        <w:rPr>
          <w:rFonts w:ascii="Calibri" w:cs="Calibri" w:eastAsia="Calibri" w:hAnsi="Calibri"/>
          <w:b/>
          <w:bCs/>
          <w:color w:val="A8892E"/>
          <w:sz w:val="22"/>
          <w:szCs w:val="22"/>
        </w:rPr>
        <w:t xml:space="preserve">SAE Standard — Year 4 to 5</w:t>
      </w:r>
    </w:p>
    <w:p>
      <w:pPr>
        <w:spacing w:after="100" w:before="80"/>
      </w:pPr>
      <w:r>
        <w:rPr>
          <w:rFonts w:ascii="Calibri" w:cs="Calibri" w:eastAsia="Calibri" w:hAnsi="Calibri"/>
          <w:color w:val="1E2A38"/>
          <w:sz w:val="21"/>
          <w:szCs w:val="21"/>
        </w:rPr>
        <w:t xml:space="preserve">The draft standard completes its balloting cycle and is published as SAE J-XXXX. Surety immediately begins working with fleet operators and insurers to reference the standard in their procurement documents and policy terms. NHTSA discussions are initiated. The standard transitions from voluntary to effectively mandatory for any serious player in the used tire market.</w:t>
      </w:r>
    </w:p>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Franchise Term</w:t>
            </w:r>
          </w:p>
        </w:tc>
        <w:tc>
          <w:tcPr>
            <w:tcW w:type="dxa" w:w="69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Detail</w:t>
            </w:r>
          </w:p>
        </w:tc>
      </w:tr>
      <w:tr>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Territory</w:t>
            </w:r>
          </w:p>
        </w:tc>
        <w:tc>
          <w:tcPr>
            <w:tcW w:type="dxa" w:w="69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Defined by registered vehicle density and auction volume — not just geography</w:t>
            </w:r>
          </w:p>
        </w:tc>
      </w:tr>
      <w:tr>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Van</w:t>
            </w:r>
          </w:p>
        </w:tc>
        <w:tc>
          <w:tcPr>
            <w:tcW w:type="dxa" w:w="69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Franchisee owns van; Surety provides specification and approved supplier list</w:t>
            </w:r>
          </w:p>
        </w:tc>
      </w:tr>
      <w:tr>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Royalty</w:t>
            </w:r>
          </w:p>
        </w:tc>
        <w:tc>
          <w:tcPr>
            <w:tcW w:type="dxa" w:w="69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$3 per scan + 20% of Surety's marketplace take — payable monthly</w:t>
            </w:r>
          </w:p>
        </w:tc>
      </w:tr>
      <w:tr>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Exclusivity</w:t>
            </w:r>
          </w:p>
        </w:tc>
        <w:tc>
          <w:tcPr>
            <w:tcW w:type="dxa" w:w="69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Maintained with minimum monthly scan volume requirement</w:t>
            </w:r>
          </w:p>
        </w:tc>
      </w:tr>
      <w:tr>
        <w:tc>
          <w:tcPr>
            <w:tcW w:type="dxa" w:w="24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Surety controls</w:t>
            </w:r>
          </w:p>
        </w:tc>
        <w:tc>
          <w:tcPr>
            <w:tcW w:type="dxa" w:w="69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Algorithm, database, sticker supply, calibration schedule, audit rights</w:t>
            </w:r>
          </w:p>
        </w:tc>
      </w:tr>
      <w:tr>
        <w:tc>
          <w:tcPr>
            <w:tcW w:type="dxa" w:w="24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FDD</w:t>
            </w:r>
          </w:p>
        </w:tc>
        <w:tc>
          <w:tcPr>
            <w:tcW w:type="dxa" w:w="69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Filed before first franchise sale — Year 2 development priority</w:t>
            </w:r>
          </w:p>
        </w:tc>
      </w:tr>
    </w:tbl>
    <w:p>
      <w:pPr>
        <w:spacing w:after="60" w:before="60"/>
      </w:pPr>
      <w:r>
        <w:t xml:space="preserve"/>
      </w:r>
    </w:p>
    <w:p>
      <w:pPr>
        <w:pStyle w:val="Heading1"/>
        <w:pBdr>
          <w:bottom w:val="single" w:color="C8A96E" w:sz="12" w:space="8"/>
        </w:pBdr>
        <w:spacing w:after="140" w:before="480"/>
      </w:pPr>
      <w:r>
        <w:rPr>
          <w:rFonts w:ascii="Georgia" w:cs="Georgia" w:eastAsia="Georgia" w:hAnsi="Georgia"/>
          <w:b/>
          <w:bCs/>
          <w:color w:val="070C13"/>
          <w:sz w:val="36"/>
          <w:szCs w:val="36"/>
        </w:rPr>
        <w:t xml:space="preserve">8. Risk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100"/>
        <w:gridCol w:w="1000"/>
        <w:gridCol w:w="5060"/>
      </w:tblGrid>
      <w:tr>
        <w:trPr>
          <w:tblHeader/>
        </w:trPr>
        <w:tc>
          <w:tcPr>
            <w:tcW w:type="dxa" w:w="2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Risk</w:t>
            </w:r>
          </w:p>
        </w:tc>
        <w:tc>
          <w:tcPr>
            <w:tcW w:type="dxa" w:w="11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Likelihood</w:t>
            </w:r>
          </w:p>
        </w:tc>
        <w:tc>
          <w:tcPr>
            <w:tcW w:type="dxa" w:w="10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Impact</w:t>
            </w:r>
          </w:p>
        </w:tc>
        <w:tc>
          <w:tcPr>
            <w:tcW w:type="dxa" w:w="50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Mitigation</w:t>
            </w:r>
          </w:p>
        </w:tc>
      </w:tr>
      <w:tr>
        <w:tc>
          <w:tcPr>
            <w:tcW w:type="dxa" w:w="2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AI visual model insufficient accuracy at launch</w:t>
            </w:r>
          </w:p>
        </w:tc>
        <w:tc>
          <w:tcPr>
            <w:tcW w:type="dxa" w:w="11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Low</w:t>
            </w:r>
          </w:p>
        </w:tc>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Medium</w:t>
            </w:r>
          </w:p>
        </w:tc>
        <w:tc>
          <w:tcPr>
            <w:tcW w:type="dxa" w:w="50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Bench prototype validates on 400+ tires before any commercial scan. Uncertain cases flagged for operator review — model never acts autonomously on borderline tires.</w:t>
            </w:r>
          </w:p>
        </w:tc>
      </w:tr>
      <w:tr>
        <w:tc>
          <w:tcPr>
            <w:tcW w:type="dxa" w:w="2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Partner sell-through lower than 50% on SR-B</w:t>
            </w:r>
          </w:p>
        </w:tc>
        <w:tc>
          <w:tcPr>
            <w:tcW w:type="dxa" w:w="11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Medium</w:t>
            </w:r>
          </w:p>
        </w:tc>
        <w:tc>
          <w:tcPr>
            <w:tcW w:type="dxa" w:w="1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Medium</w:t>
            </w:r>
          </w:p>
        </w:tc>
        <w:tc>
          <w:tcPr>
            <w:tcW w:type="dxa" w:w="50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Pricing guidance tool and comparable sales data improve partner pricing decisions. Lower sell-through extends payback period but does not break the model.</w:t>
            </w:r>
          </w:p>
        </w:tc>
      </w:tr>
      <w:tr>
        <w:tc>
          <w:tcPr>
            <w:tcW w:type="dxa" w:w="2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Competitor enters before SAE standard published</w:t>
            </w:r>
          </w:p>
        </w:tc>
        <w:tc>
          <w:tcPr>
            <w:tcW w:type="dxa" w:w="11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Low</w:t>
            </w:r>
          </w:p>
        </w:tc>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Medium</w:t>
            </w:r>
          </w:p>
        </w:tc>
        <w:tc>
          <w:tcPr>
            <w:tcW w:type="dxa" w:w="50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First-mover certification database is the primary moat. Claims history required for insurance partnership. SAE committee seat established early creates permanent authorship advantage regardless of competition.</w:t>
            </w:r>
          </w:p>
        </w:tc>
      </w:tr>
      <w:tr>
        <w:tc>
          <w:tcPr>
            <w:tcW w:type="dxa" w:w="2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Liability claim from certified tire that later fails</w:t>
            </w:r>
          </w:p>
        </w:tc>
        <w:tc>
          <w:tcPr>
            <w:tcW w:type="dxa" w:w="11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Low</w:t>
            </w:r>
          </w:p>
        </w:tc>
        <w:tc>
          <w:tcPr>
            <w:tcW w:type="dxa" w:w="1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High</w:t>
            </w:r>
          </w:p>
        </w:tc>
        <w:tc>
          <w:tcPr>
            <w:tcW w:type="dxa" w:w="50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Condition-cert legal framing, documented exclusions, machine-generated sensor audit trail for every cert. Insurance product absorbs valid claims. Tiered grading prevents overclaiming.</w:t>
            </w:r>
          </w:p>
        </w:tc>
      </w:tr>
      <w:tr>
        <w:tc>
          <w:tcPr>
            <w:tcW w:type="dxa" w:w="2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Seed round delayed or unavailable</w:t>
            </w:r>
          </w:p>
        </w:tc>
        <w:tc>
          <w:tcPr>
            <w:tcW w:type="dxa" w:w="11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Low</w:t>
            </w:r>
          </w:p>
        </w:tc>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Medium</w:t>
            </w:r>
          </w:p>
        </w:tc>
        <w:tc>
          <w:tcPr>
            <w:tcW w:type="dxa" w:w="50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Seed ask is modest ($300–400k). Van 1 payback in 4–5 months means operating cash partially funds expansion. Seed failure delays the franchise model, not core marketplace viability.</w:t>
            </w:r>
          </w:p>
        </w:tc>
      </w:tr>
      <w:tr>
        <w:tc>
          <w:tcPr>
            <w:tcW w:type="dxa" w:w="2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Franchise sales slower than projected</w:t>
            </w:r>
          </w:p>
        </w:tc>
        <w:tc>
          <w:tcPr>
            <w:tcW w:type="dxa" w:w="11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Medium</w:t>
            </w:r>
          </w:p>
        </w:tc>
        <w:tc>
          <w:tcPr>
            <w:tcW w:type="dxa" w:w="1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Low</w:t>
            </w:r>
          </w:p>
        </w:tc>
        <w:tc>
          <w:tcPr>
            <w:tcW w:type="dxa" w:w="50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Franchise is Year 3+ and entirely optional for core profitability. Company vans are EBITDA-positive from Year 2. Franchise delay has no impact on the first two years of operation.</w:t>
            </w:r>
          </w:p>
        </w:tc>
      </w:tr>
      <w:tr>
        <w:tc>
          <w:tcPr>
            <w:tcW w:type="dxa" w:w="2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SAE process delayed beyond Year 5</w:t>
            </w:r>
          </w:p>
        </w:tc>
        <w:tc>
          <w:tcPr>
            <w:tcW w:type="dxa" w:w="11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Medium</w:t>
            </w:r>
          </w:p>
        </w:tc>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Low</w:t>
            </w:r>
          </w:p>
        </w:tc>
        <w:tc>
          <w:tcPr>
            <w:tcW w:type="dxa" w:w="50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Surety's SR grading system is commercially defensible without SAE publication. SAE adoption accelerates the standard's reach but does not determine whether the certification has market value.</w:t>
            </w:r>
          </w:p>
        </w:tc>
      </w:tr>
    </w:tbl>
    <w:p>
      <w:pPr>
        <w:spacing w:after="60" w:before="60"/>
      </w:pPr>
      <w:r>
        <w:t xml:space="preserve"/>
      </w:r>
    </w:p>
    <w:p>
      <w:pPr>
        <w:pStyle w:val="Heading1"/>
        <w:pBdr>
          <w:bottom w:val="single" w:color="C8A96E" w:sz="12" w:space="8"/>
        </w:pBdr>
        <w:spacing w:after="140" w:before="480"/>
      </w:pPr>
      <w:r>
        <w:rPr>
          <w:rFonts w:ascii="Georgia" w:cs="Georgia" w:eastAsia="Georgia" w:hAnsi="Georgia"/>
          <w:b/>
          <w:bCs/>
          <w:color w:val="070C13"/>
          <w:sz w:val="36"/>
          <w:szCs w:val="36"/>
        </w:rPr>
        <w:t xml:space="preserve">9. Immediate Next Steps</w:t>
      </w:r>
    </w:p>
    <w:p>
      <w:pPr>
        <w:pStyle w:val="Heading2"/>
        <w:spacing w:after="100" w:before="320"/>
      </w:pPr>
      <w:r>
        <w:rPr>
          <w:rFonts w:ascii="Georgia" w:cs="Georgia" w:eastAsia="Georgia" w:hAnsi="Georgia"/>
          <w:b/>
          <w:bCs/>
          <w:color w:val="070C13"/>
          <w:sz w:val="28"/>
          <w:szCs w:val="28"/>
        </w:rPr>
        <w:t xml:space="preserve">Q2 2026 — Bootstrap</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Engage mechanical engineer and software engineer for bench prototype build</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Order all sensor components — DOT camera, Keyence laser, Basler cameras, Jetson, Anyline licence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Source 400–500 tires from local salvage for prototype validation and AI training set</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Engage product liability attorney to draft certification disclaimer language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Identify first pilot partner — owner-managed regional salvage yard within 50 miles</w:t>
      </w:r>
    </w:p>
    <w:p>
      <w:pPr>
        <w:spacing w:after="60" w:before="60"/>
      </w:pPr>
      <w:r>
        <w:t xml:space="preserve"/>
      </w:r>
    </w:p>
    <w:p>
      <w:pPr>
        <w:pStyle w:val="Heading2"/>
        <w:spacing w:after="100" w:before="320"/>
      </w:pPr>
      <w:r>
        <w:rPr>
          <w:rFonts w:ascii="Georgia" w:cs="Georgia" w:eastAsia="Georgia" w:hAnsi="Georgia"/>
          <w:b/>
          <w:bCs/>
          <w:color w:val="070C13"/>
          <w:sz w:val="28"/>
          <w:szCs w:val="28"/>
        </w:rPr>
        <w:t xml:space="preserve">Q3 2026 — Bench Prototype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Assemble indexed conveyor prototype in warehouse — all 5 stations operational</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Run 400+ tires, experienced technician labels 8 defect classes for AI training</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Validate grade repeatability: same tire gives same grade ≥ 98% of runs</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Validate false positive rate: &lt; 3% SR-A incorrect on confirmed-defect tires</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Begin first pilot partner relationship — live listings on Surety marketplace v1</w:t>
      </w:r>
    </w:p>
    <w:p>
      <w:pPr>
        <w:spacing w:after="60" w:before="60"/>
      </w:pPr>
      <w:r>
        <w:t xml:space="preserve"/>
      </w:r>
    </w:p>
    <w:p>
      <w:pPr>
        <w:pStyle w:val="Heading2"/>
        <w:spacing w:after="100" w:before="320"/>
      </w:pPr>
      <w:r>
        <w:rPr>
          <w:rFonts w:ascii="Georgia" w:cs="Georgia" w:eastAsia="Georgia" w:hAnsi="Georgia"/>
          <w:b/>
          <w:bCs/>
          <w:color w:val="070C13"/>
          <w:sz w:val="28"/>
          <w:szCs w:val="28"/>
        </w:rPr>
        <w:t xml:space="preserve">Q4 2026 — Pilot Validation and SAE Petition</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First pilot partner: scan full inventory, measure sell-through at 30 and 60 days</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Second pilot partner: different type, validate model generalises</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Submit SAE petition — used tire condition certification technical committee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Begin seed round conversations with sell-through and grade distribution data in hand</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Insurance broker engagement — structure warranty product for seed deployment</w:t>
      </w:r>
    </w:p>
    <w:p>
      <w:pPr>
        <w:spacing w:after="60" w:before="60"/>
      </w:pPr>
      <w:r>
        <w:t xml:space="preserve"/>
      </w:r>
    </w:p>
    <w:p>
      <w:pPr>
        <w:pStyle w:val="Heading2"/>
        <w:spacing w:after="100" w:before="320"/>
      </w:pPr>
      <w:r>
        <w:rPr>
          <w:rFonts w:ascii="Georgia" w:cs="Georgia" w:eastAsia="Georgia" w:hAnsi="Georgia"/>
          <w:b/>
          <w:bCs/>
          <w:color w:val="070C13"/>
          <w:sz w:val="28"/>
          <w:szCs w:val="28"/>
        </w:rPr>
        <w:t xml:space="preserve">Q1 2027 — Seed Deployed</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Van 1 operational — bench machine refined, integrated, mobile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5–8 active partner sites, 60–80 tires/hour steady state</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Marketplace V2 launched — full buyer platform, search, accounts, seller dashboard</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Insurance product live with underwriting partner</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SAE technical committee begins drafting phase — Surety leads documentation</w:t>
      </w:r>
    </w:p>
    <w:p>
      <w:pPr>
        <w:pStyle w:val="ListParagraph"/>
        <w:numPr>
          <w:ilvl w:val="0"/>
          <w:numId w:val="2"/>
        </w:numPr>
        <w:spacing w:after="50" w:before="50"/>
      </w:pPr>
      <w:r>
        <w:rPr>
          <w:rFonts w:ascii="Calibri" w:cs="Calibri" w:eastAsia="Calibri" w:hAnsi="Calibri"/>
          <w:b w:val="false"/>
          <w:bCs w:val="false"/>
          <w:color w:val="1E2A38"/>
          <w:sz w:val="20"/>
          <w:szCs w:val="20"/>
        </w:rPr>
        <w:t xml:space="preserve">Van 2 funded from operating cash (Month 4–5 payback on Van 1)</w:t>
      </w:r>
    </w:p>
    <w:p>
      <w:pPr>
        <w:spacing w:after="60" w:before="60"/>
      </w:pPr>
      <w:r>
        <w:t xml:space="preserve"/>
      </w:r>
    </w:p>
    <w:p>
      <w:pPr>
        <w:pStyle w:val="Heading2"/>
        <w:spacing w:after="100" w:before="320"/>
      </w:pPr>
      <w:r>
        <w:rPr>
          <w:rFonts w:ascii="Georgia" w:cs="Georgia" w:eastAsia="Georgia" w:hAnsi="Georgia"/>
          <w:b/>
          <w:bCs/>
          <w:color w:val="070C13"/>
          <w:sz w:val="28"/>
          <w:szCs w:val="28"/>
        </w:rPr>
        <w:t xml:space="preserve">Year 2–5 SAE Milestones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3200"/>
        <w:gridCol w:w="5160"/>
      </w:tblGrid>
      <w:tr>
        <w:trPr>
          <w:tblHeader/>
        </w:trPr>
        <w:tc>
          <w:tcPr>
            <w:tcW w:type="dxa" w:w="10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Year</w:t>
            </w:r>
          </w:p>
        </w:tc>
        <w:tc>
          <w:tcPr>
            <w:tcW w:type="dxa" w:w="320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SAE Milestone</w:t>
            </w:r>
          </w:p>
        </w:tc>
        <w:tc>
          <w:tcPr>
            <w:tcW w:type="dxa" w:w="5160"/>
            <w:tcBorders>
              <w:top w:val="single" w:color="CCBFA8" w:sz="1"/>
              <w:left w:val="single" w:color="CCBFA8" w:sz="1"/>
              <w:bottom w:val="single" w:color="CCBFA8" w:sz="1"/>
              <w:right w:val="single" w:color="CCBFA8" w:sz="1"/>
            </w:tcBorders>
            <w:shd w:fill="070C13" w:val="clear"/>
            <w:tcMar>
              <w:top w:type="dxa" w:w="90"/>
              <w:left w:type="dxa" w:w="140"/>
              <w:bottom w:type="dxa" w:w="90"/>
              <w:right w:type="dxa" w:w="140"/>
            </w:tcMar>
          </w:tcPr>
          <w:p>
            <w:pPr>
              <w:jc w:val="center"/>
            </w:pPr>
            <w:r>
              <w:rPr>
                <w:rFonts w:ascii="Calibri" w:cs="Calibri" w:eastAsia="Calibri" w:hAnsi="Calibri"/>
                <w:b/>
                <w:bCs/>
                <w:color w:val="FFFFFF"/>
                <w:sz w:val="18"/>
                <w:szCs w:val="18"/>
              </w:rPr>
              <w:t xml:space="preserve">Business Impact</w:t>
            </w:r>
          </w:p>
        </w:tc>
      </w:tr>
      <w:tr>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2</w:t>
            </w:r>
          </w:p>
        </w:tc>
        <w:tc>
          <w:tcPr>
            <w:tcW w:type="dxa" w:w="3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Technical committee formed. Surety leads draft standard documentation.</w:t>
            </w:r>
          </w:p>
        </w:tc>
        <w:tc>
          <w:tcPr>
            <w:tcW w:type="dxa" w:w="5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Positions Surety as the technical authority. Builds relationships with tire manufacturers and fleet operators.</w:t>
            </w:r>
          </w:p>
        </w:tc>
      </w:tr>
      <w:tr>
        <w:tc>
          <w:tcPr>
            <w:tcW w:type="dxa" w:w="1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3</w:t>
            </w:r>
          </w:p>
        </w:tc>
        <w:tc>
          <w:tcPr>
            <w:tcW w:type="dxa" w:w="3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Draft SR-A / SR-B / SR-C criteria circulated for committee ballot.</w:t>
            </w:r>
          </w:p>
        </w:tc>
        <w:tc>
          <w:tcPr>
            <w:tcW w:type="dxa" w:w="5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Grade criteria become known across the industry. Competitors must plan around Surety's specification.</w:t>
            </w:r>
          </w:p>
        </w:tc>
      </w:tr>
      <w:tr>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4</w:t>
            </w:r>
          </w:p>
        </w:tc>
        <w:tc>
          <w:tcPr>
            <w:tcW w:type="dxa" w:w="3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Final ballot completed. Standard approved by SAE committee.</w:t>
            </w:r>
          </w:p>
        </w:tc>
        <w:tc>
          <w:tcPr>
            <w:tcW w:type="dxa" w:w="5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Begin referencing 'pending SAE J-XXXX' in all certification documents and marketing.</w:t>
            </w:r>
          </w:p>
        </w:tc>
      </w:tr>
      <w:tr>
        <w:tc>
          <w:tcPr>
            <w:tcW w:type="dxa" w:w="10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5</w:t>
            </w:r>
          </w:p>
        </w:tc>
        <w:tc>
          <w:tcPr>
            <w:tcW w:type="dxa" w:w="320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SAE J-XXXX published. Begin regulatory and procurement adoption.</w:t>
            </w:r>
          </w:p>
        </w:tc>
        <w:tc>
          <w:tcPr>
            <w:tcW w:type="dxa" w:w="5160"/>
            <w:tcBorders>
              <w:top w:val="single" w:color="CCBFA8" w:sz="1"/>
              <w:left w:val="single" w:color="CCBFA8" w:sz="1"/>
              <w:bottom w:val="single" w:color="CCBFA8" w:sz="1"/>
              <w:right w:val="single" w:color="CCBFA8" w:sz="1"/>
            </w:tcBorders>
            <w:shd w:fill="F2EEE4"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Fleet operators and insurers begin writing standard into contracts. Market mandate created.</w:t>
            </w:r>
          </w:p>
        </w:tc>
      </w:tr>
      <w:tr>
        <w:tc>
          <w:tcPr>
            <w:tcW w:type="dxa" w:w="10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left"/>
            </w:pPr>
            <w:r>
              <w:rPr>
                <w:rFonts w:ascii="Calibri" w:cs="Calibri" w:eastAsia="Calibri" w:hAnsi="Calibri"/>
                <w:color w:val="1E2A38"/>
                <w:sz w:val="19"/>
                <w:szCs w:val="19"/>
              </w:rPr>
              <w:t xml:space="preserve">Year 5+</w:t>
            </w:r>
          </w:p>
        </w:tc>
        <w:tc>
          <w:tcPr>
            <w:tcW w:type="dxa" w:w="320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NHTSA discussions for regulatory adoption by reference.</w:t>
            </w:r>
          </w:p>
        </w:tc>
        <w:tc>
          <w:tcPr>
            <w:tcW w:type="dxa" w:w="5160"/>
            <w:tcBorders>
              <w:top w:val="single" w:color="CCBFA8" w:sz="1"/>
              <w:left w:val="single" w:color="CCBFA8" w:sz="1"/>
              <w:bottom w:val="single" w:color="CCBFA8" w:sz="1"/>
              <w:right w:val="single" w:color="CCBFA8" w:sz="1"/>
            </w:tcBorders>
            <w:shd w:fill="FFFFFF" w:val="clear"/>
            <w:tcMar>
              <w:top w:type="dxa" w:w="70"/>
              <w:left w:type="dxa" w:w="140"/>
              <w:bottom w:type="dxa" w:w="70"/>
              <w:right w:type="dxa" w:w="140"/>
            </w:tcMar>
          </w:tcPr>
          <w:p>
            <w:pPr>
              <w:jc w:val="center"/>
            </w:pPr>
            <w:r>
              <w:rPr>
                <w:rFonts w:ascii="Calibri" w:cs="Calibri" w:eastAsia="Calibri" w:hAnsi="Calibri"/>
                <w:color w:val="1E2A38"/>
                <w:sz w:val="19"/>
                <w:szCs w:val="19"/>
              </w:rPr>
              <w:t xml:space="preserve">If adopted, certification becomes legally required for used tire resale at scale.</w:t>
            </w:r>
          </w:p>
        </w:tc>
      </w:tr>
    </w:tbl>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8A96E" w:sz="24"/>
              <w:bottom w:val="none" w:color="FFFFFF" w:sz="0"/>
              <w:right w:val="none" w:color="FFFFFF" w:sz="0"/>
            </w:tcBorders>
            <w:shd w:fill="F2EEE4" w:val="clear"/>
            <w:tcMar>
              <w:top w:type="dxa" w:w="120"/>
              <w:left w:type="dxa" w:w="200"/>
              <w:bottom w:type="dxa" w:w="120"/>
              <w:right w:type="dxa" w:w="160"/>
            </w:tcMar>
          </w:tcPr>
          <w:p>
            <w:pPr>
              <w:spacing w:after="60" w:before="0"/>
            </w:pPr>
            <w:r>
              <w:rPr>
                <w:rFonts w:ascii="Calibri" w:cs="Calibri" w:eastAsia="Calibri" w:hAnsi="Calibri"/>
                <w:b/>
                <w:bCs/>
                <w:color w:val="C8A96E"/>
                <w:spacing w:val="40"/>
                <w:sz w:val="18"/>
                <w:szCs w:val="18"/>
              </w:rPr>
              <w:t xml:space="preserve">FIRST PRIORITY</w:t>
            </w:r>
          </w:p>
          <w:p>
            <w:pPr>
              <w:spacing w:after="0" w:before="0"/>
            </w:pPr>
            <w:r>
              <w:rPr>
                <w:rFonts w:ascii="Calibri" w:cs="Calibri" w:eastAsia="Calibri" w:hAnsi="Calibri"/>
                <w:i/>
                <w:iCs/>
                <w:color w:val="1E2A38"/>
                <w:sz w:val="20"/>
                <w:szCs w:val="20"/>
              </w:rPr>
              <w:t xml:space="preserve">The bench prototype is the highest-value use of early capital. It answers every key technology question in 10–12 weeks with $48k and two engineers. Everything downstream — the van, the marketplace, the franchise, the SAE standard — depends on the machine producing reliable, defensible grades. Prove that first.</w:t>
            </w:r>
          </w:p>
        </w:tc>
      </w:tr>
    </w:tbl>
    <w:p>
      <w:pPr>
        <w:spacing w:after="80" w:before="80"/>
      </w:pPr>
      <w:r>
        <w:t xml:space="preserve"/>
      </w:r>
    </w:p>
    <w:p>
      <w:pPr>
        <w:spacing w:after="120" w:before="400"/>
        <w:jc w:val="center"/>
      </w:pPr>
      <w:r>
        <w:rPr>
          <w:rFonts w:ascii="Georgia" w:cs="Georgia" w:eastAsia="Georgia" w:hAnsi="Georgia"/>
          <w:b/>
          <w:bCs/>
          <w:color w:val="070C13"/>
          <w:sz w:val="30"/>
          <w:szCs w:val="30"/>
        </w:rPr>
        <w:t xml:space="preserve">Surety, Inc.</w:t>
      </w:r>
    </w:p>
    <w:p>
      <w:pPr>
        <w:jc w:val="center"/>
      </w:pPr>
      <w:r>
        <w:rPr>
          <w:rFonts w:ascii="Calibri" w:cs="Calibri" w:eastAsia="Calibri" w:hAnsi="Calibri"/>
          <w:color w:val="7A8898"/>
          <w:sz w:val="18"/>
          <w:szCs w:val="18"/>
        </w:rPr>
        <w:t xml:space="preserve">inquiries@surety-certified.com  ·  surety-certified.com  ·  Confidential — April 2026</w:t>
      </w:r>
    </w:p>
    <w:sectPr>
      <w:headerReference w:type="default" r:id="rId7"/>
      <w:footerReference w:type="default" r:id="rId8"/>
      <w:pgSz w:w="12240" w:h="15840" w:orient="portrait"/>
      <w:pgMar w:top="1000" w:right="108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C8B8" w:sz="4" w:space="4"/>
      </w:pBdr>
      <w:jc w:val="center"/>
    </w:pPr>
    <w:r>
      <w:rPr>
        <w:rFonts w:ascii="Calibri" w:cs="Calibri" w:eastAsia="Calibri" w:hAnsi="Calibri"/>
        <w:color w:val="7A8898"/>
        <w:sz w:val="16"/>
        <w:szCs w:val="16"/>
      </w:rPr>
      <w:t xml:space="preserve">Page </w:t>
    </w:r>
    <w:r>
      <w:rPr>
        <w:rFonts w:ascii="Calibri" w:cs="Calibri" w:eastAsia="Calibri" w:hAnsi="Calibri"/>
        <w:color w:val="7A889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A96E" w:sz="6" w:space="4"/>
      </w:pBdr>
      <w:tabs>
        <w:tab w:val="right" w:pos="9026"/>
      </w:tabs>
    </w:pPr>
    <w:r>
      <w:rPr>
        <w:rFonts w:ascii="Georgia" w:cs="Georgia" w:eastAsia="Georgia" w:hAnsi="Georgia"/>
        <w:b/>
        <w:bCs/>
        <w:color w:val="070C13"/>
        <w:sz w:val="18"/>
        <w:szCs w:val="18"/>
      </w:rPr>
      <w:t xml:space="preserve">SURETY  </w:t>
    </w:r>
    <w:r>
      <w:rPr>
        <w:rFonts w:ascii="Calibri" w:cs="Calibri" w:eastAsia="Calibri" w:hAnsi="Calibri"/>
        <w:color w:val="7A8898"/>
        <w:sz w:val="17"/>
        <w:szCs w:val="17"/>
      </w:rPr>
      <w:t xml:space="preserve">Business Plan &amp; Operating Model</w:t>
    </w:r>
    <w:r>
      <w:rPr>
        <w:rFonts w:ascii="Calibri" w:cs="Calibri" w:eastAsia="Calibri" w:hAnsi="Calibri"/>
        <w:i/>
        <w:iCs/>
        <w:color w:val="7A8898"/>
        <w:sz w:val="17"/>
        <w:szCs w:val="17"/>
      </w:rPr>
      <w:t xml:space="preserve">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480"/>
      <w:outlineLvl w:val="0"/>
    </w:pPr>
    <w:rPr>
      <w:rFonts w:ascii="Georgia" w:cs="Georgia" w:eastAsia="Georgia" w:hAnsi="Georgia"/>
      <w:b/>
      <w:bCs/>
      <w:color w:val="070C13"/>
      <w:sz w:val="36"/>
      <w:szCs w:val="36"/>
    </w:rPr>
  </w:style>
  <w:style w:type="paragraph" w:styleId="Heading2">
    <w:name w:val="Heading 2"/>
    <w:basedOn w:val="Normal"/>
    <w:next w:val="Normal"/>
    <w:qFormat/>
    <w:pPr>
      <w:spacing w:after="100" w:before="320"/>
      <w:outlineLvl w:val="1"/>
    </w:pPr>
    <w:rPr>
      <w:rFonts w:ascii="Georgia" w:cs="Georgia" w:eastAsia="Georgia" w:hAnsi="Georgia"/>
      <w:b/>
      <w:bCs/>
      <w:color w:val="070C13"/>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2026-04-05T16:04:26.111Z</dcterms:created>
  <dcterms:modified xsi:type="dcterms:W3CDTF">2026-04-05T16:04:26.112Z</dcterms:modified>
</cp:coreProperties>
</file>

<file path=docProps/custom.xml><?xml version="1.0" encoding="utf-8"?>
<Properties xmlns="http://schemas.openxmlformats.org/officeDocument/2006/custom-properties" xmlns:vt="http://schemas.openxmlformats.org/officeDocument/2006/docPropsVTypes"/>
</file>